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204"/>
        <w:gridCol w:w="8746"/>
      </w:tblGrid>
      <w:tr w:rsidR="00E70F05" w:rsidRPr="00DC175E" w14:paraId="14B9B1C2" w14:textId="77777777" w:rsidTr="003B1CE3">
        <w:tc>
          <w:tcPr>
            <w:tcW w:w="1623" w:type="pct"/>
          </w:tcPr>
          <w:p w14:paraId="78192800" w14:textId="77777777" w:rsidR="00E70F05" w:rsidRPr="00DC175E" w:rsidRDefault="00E70F05" w:rsidP="00E70F05">
            <w:pPr>
              <w:bidi w:val="0"/>
              <w:rPr>
                <w:rFonts w:ascii="HelveticaNeueLT Arabic 55 Roman" w:hAnsi="HelveticaNeueLT Arabic 55 Roman" w:cs="HelveticaNeueLT Arabic 55 Roman"/>
                <w:sz w:val="20"/>
                <w:szCs w:val="20"/>
                <w:rtl/>
              </w:rPr>
            </w:pPr>
          </w:p>
        </w:tc>
        <w:tc>
          <w:tcPr>
            <w:tcW w:w="3377" w:type="pct"/>
          </w:tcPr>
          <w:p w14:paraId="78209324" w14:textId="77777777" w:rsidR="00E70F05" w:rsidRPr="00DC175E" w:rsidRDefault="00E70F05" w:rsidP="00E70F05">
            <w:pPr>
              <w:bidi w:val="0"/>
              <w:rPr>
                <w:rFonts w:ascii="HelveticaNeueLT Arabic 55 Roman" w:hAnsi="HelveticaNeueLT Arabic 55 Roman" w:cs="HelveticaNeueLT Arabic 55 Roman"/>
                <w:sz w:val="20"/>
                <w:szCs w:val="20"/>
                <w:rtl/>
              </w:rPr>
            </w:pPr>
            <w:r w:rsidRPr="00DC175E">
              <w:rPr>
                <w:rFonts w:ascii="HelveticaNeueLT Arabic 55 Roman" w:hAnsi="HelveticaNeueLT Arabic 55 Roman" w:cs="HelveticaNeueLT Arabic 55 Roman"/>
                <w:b/>
                <w:bCs/>
                <w:sz w:val="20"/>
                <w:szCs w:val="20"/>
              </w:rPr>
              <w:t>Locations where notification activities covered:</w:t>
            </w:r>
          </w:p>
        </w:tc>
      </w:tr>
      <w:tr w:rsidR="00907707" w:rsidRPr="00DC175E" w14:paraId="3E9FC8B0" w14:textId="77777777" w:rsidTr="00907707">
        <w:trPr>
          <w:trHeight w:val="1260"/>
        </w:trPr>
        <w:tc>
          <w:tcPr>
            <w:tcW w:w="1623" w:type="pct"/>
          </w:tcPr>
          <w:p w14:paraId="02DE6819" w14:textId="77777777" w:rsidR="00907707" w:rsidRPr="001F7D16" w:rsidRDefault="00907707" w:rsidP="00907707">
            <w:pPr>
              <w:bidi w:val="0"/>
              <w:rPr>
                <w:rFonts w:ascii="Calibri" w:eastAsia="Times New Roman" w:hAnsi="Calibri" w:cs="Calibri"/>
                <w:lang w:val="en-GB"/>
              </w:rPr>
            </w:pPr>
            <w:r w:rsidRPr="00907707">
              <w:rPr>
                <w:rFonts w:ascii="Calibri" w:hAnsi="Calibri" w:cs="Calibri"/>
                <w:b/>
                <w:bCs/>
              </w:rPr>
              <w:t>Contact:</w:t>
            </w:r>
            <w:r w:rsidRPr="002201EB">
              <w:rPr>
                <w:rFonts w:ascii="Calibri" w:hAnsi="Calibri" w:cs="Calibri"/>
              </w:rPr>
              <w:t xml:space="preserve">  </w:t>
            </w:r>
            <w:r w:rsidRPr="008F67F1">
              <w:rPr>
                <w:rFonts w:ascii="Calibri" w:hAnsi="Calibri" w:cs="Calibri"/>
                <w:lang w:val="en-GB"/>
              </w:rPr>
              <w:t>Anand Nair</w:t>
            </w:r>
          </w:p>
          <w:p w14:paraId="294C34F1" w14:textId="77777777" w:rsidR="00907707" w:rsidRPr="002201EB" w:rsidRDefault="00907707" w:rsidP="00907707">
            <w:pPr>
              <w:bidi w:val="0"/>
              <w:rPr>
                <w:rFonts w:ascii="Calibri" w:hAnsi="Calibri" w:cs="Calibri"/>
              </w:rPr>
            </w:pPr>
            <w:r w:rsidRPr="00907707">
              <w:rPr>
                <w:rFonts w:ascii="Calibri" w:hAnsi="Calibri" w:cs="Calibri"/>
                <w:b/>
                <w:bCs/>
              </w:rPr>
              <w:t>Tel:</w:t>
            </w:r>
            <w:r w:rsidRPr="002201EB">
              <w:rPr>
                <w:rFonts w:ascii="Calibri" w:hAnsi="Calibri" w:cs="Calibri"/>
              </w:rPr>
              <w:t xml:space="preserve">  </w:t>
            </w:r>
            <w:r w:rsidRPr="008F67F1">
              <w:rPr>
                <w:rFonts w:ascii="Calibri" w:hAnsi="Calibri" w:cs="Calibri"/>
              </w:rPr>
              <w:t>+ 971 4 880 9393</w:t>
            </w:r>
          </w:p>
          <w:p w14:paraId="6B97BB52" w14:textId="77777777" w:rsidR="00907707" w:rsidRPr="002201EB" w:rsidRDefault="00907707" w:rsidP="00907707">
            <w:pPr>
              <w:bidi w:val="0"/>
              <w:rPr>
                <w:rFonts w:ascii="Calibri" w:hAnsi="Calibri" w:cs="Calibri"/>
              </w:rPr>
            </w:pPr>
            <w:r w:rsidRPr="00907707">
              <w:rPr>
                <w:rFonts w:ascii="Calibri" w:hAnsi="Calibri" w:cs="Calibri"/>
                <w:b/>
                <w:bCs/>
              </w:rPr>
              <w:t>Fax:</w:t>
            </w:r>
            <w:r w:rsidRPr="002201EB">
              <w:rPr>
                <w:rFonts w:ascii="Calibri" w:hAnsi="Calibri" w:cs="Calibri"/>
              </w:rPr>
              <w:t xml:space="preserve">  </w:t>
            </w:r>
            <w:r w:rsidRPr="008F67F1">
              <w:rPr>
                <w:rFonts w:ascii="Calibri" w:hAnsi="Calibri" w:cs="Calibri"/>
              </w:rPr>
              <w:t>+ 971 4 880 9393</w:t>
            </w:r>
          </w:p>
          <w:p w14:paraId="36FA2B5B" w14:textId="77777777" w:rsidR="00907707" w:rsidRPr="002201EB" w:rsidRDefault="00907707" w:rsidP="00907707">
            <w:pPr>
              <w:bidi w:val="0"/>
              <w:rPr>
                <w:rFonts w:ascii="Calibri" w:hAnsi="Calibri" w:cs="Calibri"/>
              </w:rPr>
            </w:pPr>
            <w:r w:rsidRPr="00907707">
              <w:rPr>
                <w:rFonts w:ascii="Calibri" w:hAnsi="Calibri" w:cs="Calibri"/>
                <w:b/>
                <w:bCs/>
              </w:rPr>
              <w:t>Email:</w:t>
            </w:r>
            <w:r w:rsidRPr="002201EB">
              <w:rPr>
                <w:rFonts w:ascii="Calibri" w:hAnsi="Calibri" w:cs="Calibri"/>
              </w:rPr>
              <w:t xml:space="preserve">  </w:t>
            </w:r>
            <w:hyperlink r:id="rId10" w:history="1">
              <w:r w:rsidRPr="003A1F87">
                <w:rPr>
                  <w:rStyle w:val="Hyperlink"/>
                </w:rPr>
                <w:t>anand.nair@sgs.com</w:t>
              </w:r>
            </w:hyperlink>
            <w:r>
              <w:t xml:space="preserve"> </w:t>
            </w:r>
          </w:p>
          <w:p w14:paraId="098B4627" w14:textId="365E118F" w:rsidR="00907707" w:rsidRPr="0071653E" w:rsidRDefault="00907707" w:rsidP="00907707">
            <w:pPr>
              <w:bidi w:val="0"/>
              <w:rPr>
                <w:rFonts w:ascii="HelveticaNeueLT Arabic 55 Roman" w:hAnsi="HelveticaNeueLT Arabic 55 Roman" w:cs="HelveticaNeueLT Arabic 55 Roman"/>
                <w:sz w:val="20"/>
                <w:szCs w:val="20"/>
                <w:rtl/>
              </w:rPr>
            </w:pPr>
            <w:r w:rsidRPr="00907707">
              <w:rPr>
                <w:rFonts w:ascii="Calibri" w:hAnsi="Calibri" w:cs="Calibri"/>
                <w:b/>
                <w:bCs/>
              </w:rPr>
              <w:t>Web Address:</w:t>
            </w:r>
            <w:r w:rsidRPr="002201EB">
              <w:rPr>
                <w:rFonts w:ascii="Calibri" w:hAnsi="Calibri" w:cs="Calibri"/>
              </w:rPr>
              <w:t xml:space="preserve">  </w:t>
            </w:r>
            <w:hyperlink r:id="rId11" w:history="1">
              <w:r w:rsidRPr="003A1F87">
                <w:rPr>
                  <w:rStyle w:val="Hyperlink"/>
                </w:rPr>
                <w:t>https://www.sgs-me.com</w:t>
              </w:r>
            </w:hyperlink>
            <w:r>
              <w:t xml:space="preserve"> </w:t>
            </w:r>
          </w:p>
        </w:tc>
        <w:tc>
          <w:tcPr>
            <w:tcW w:w="3377" w:type="pct"/>
          </w:tcPr>
          <w:p w14:paraId="3F0F0781" w14:textId="5CF62D8C" w:rsidR="00907707" w:rsidRPr="00DC175E" w:rsidRDefault="00907707" w:rsidP="00907707">
            <w:pPr>
              <w:bidi w:val="0"/>
              <w:jc w:val="both"/>
              <w:rPr>
                <w:rFonts w:ascii="HelveticaNeueLT Arabic 55 Roman" w:hAnsi="HelveticaNeueLT Arabic 55 Roman" w:cs="HelveticaNeueLT Arabic 55 Roman"/>
                <w:sz w:val="20"/>
                <w:szCs w:val="20"/>
                <w:rtl/>
                <w:lang w:bidi="ar-OM"/>
              </w:rPr>
            </w:pPr>
            <w:r>
              <w:rPr>
                <w:rFonts w:ascii="Calibri" w:hAnsi="Calibri" w:cs="Calibri"/>
                <w:bCs/>
              </w:rPr>
              <w:t xml:space="preserve">Address: </w:t>
            </w:r>
            <w:r>
              <w:t xml:space="preserve"> </w:t>
            </w:r>
            <w:r w:rsidRPr="004354E9">
              <w:rPr>
                <w:rFonts w:cs="Arial"/>
                <w:b/>
                <w:bCs/>
                <w:lang w:val="en-GB"/>
              </w:rPr>
              <w:t>Bin Sagar Tower, 2nd Floor – 204, Najda Street, Abu Dhabi, United Arab Emirates</w:t>
            </w:r>
          </w:p>
        </w:tc>
      </w:tr>
    </w:tbl>
    <w:p w14:paraId="12E2E633" w14:textId="77777777" w:rsidR="00E70F05" w:rsidRPr="0071653E" w:rsidRDefault="00E70F05" w:rsidP="00891FD1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50"/>
      </w:tblGrid>
      <w:tr w:rsidR="00D539AB" w:rsidRPr="00DC175E" w14:paraId="6B5B24AB" w14:textId="77777777" w:rsidTr="003B1CE3">
        <w:trPr>
          <w:tblHeader/>
        </w:trPr>
        <w:tc>
          <w:tcPr>
            <w:tcW w:w="5000" w:type="pct"/>
            <w:vAlign w:val="center"/>
          </w:tcPr>
          <w:p w14:paraId="25A5F956" w14:textId="77777777" w:rsidR="00D539AB" w:rsidRPr="00DC175E" w:rsidRDefault="00D539AB" w:rsidP="00030EAA">
            <w:pPr>
              <w:spacing w:line="360" w:lineRule="auto"/>
              <w:jc w:val="center"/>
              <w:rPr>
                <w:rFonts w:ascii="HelveticaNeueLT Arabic 55 Roman" w:hAnsi="HelveticaNeueLT Arabic 55 Roman" w:cs="HelveticaNeueLT Arabic 55 Roman"/>
                <w:b/>
                <w:bCs/>
                <w:color w:val="000000" w:themeColor="text1"/>
                <w:sz w:val="20"/>
                <w:szCs w:val="20"/>
              </w:rPr>
            </w:pPr>
            <w:r w:rsidRPr="00DC175E">
              <w:rPr>
                <w:rFonts w:ascii="HelveticaNeueLT Arabic 55 Roman" w:hAnsi="HelveticaNeueLT Arabic 55 Roman" w:cs="HelveticaNeueLT Arabic 55 Roman"/>
                <w:b/>
                <w:bCs/>
                <w:color w:val="000000" w:themeColor="text1"/>
                <w:sz w:val="20"/>
                <w:szCs w:val="20"/>
              </w:rPr>
              <w:t>DETAIL OF NOTIFICATION SCOPE</w:t>
            </w:r>
          </w:p>
        </w:tc>
      </w:tr>
      <w:tr w:rsidR="00D539AB" w:rsidRPr="00DC175E" w14:paraId="1FD75603" w14:textId="77777777" w:rsidTr="003B1CE3">
        <w:trPr>
          <w:tblHeader/>
        </w:trPr>
        <w:tc>
          <w:tcPr>
            <w:tcW w:w="5000" w:type="pct"/>
            <w:shd w:val="clear" w:color="auto" w:fill="C00000"/>
            <w:vAlign w:val="center"/>
          </w:tcPr>
          <w:p w14:paraId="229A9874" w14:textId="77777777" w:rsidR="00D539AB" w:rsidRPr="00DC175E" w:rsidRDefault="00D539AB" w:rsidP="001F7D16">
            <w:pPr>
              <w:bidi w:val="0"/>
              <w:jc w:val="center"/>
              <w:rPr>
                <w:rFonts w:ascii="HelveticaNeueLT Arabic 55 Roman" w:hAnsi="HelveticaNeueLT Arabic 55 Roman" w:cs="HelveticaNeueLT Arabic 55 Roman"/>
                <w:b/>
                <w:bCs/>
                <w:sz w:val="20"/>
                <w:szCs w:val="20"/>
              </w:rPr>
            </w:pPr>
            <w:r w:rsidRPr="00DC175E">
              <w:rPr>
                <w:rFonts w:ascii="HelveticaNeueLT Arabic 55 Roman" w:hAnsi="HelveticaNeueLT Arabic 55 Roman" w:cs="HelveticaNeueLT Arabic 55 Roman"/>
                <w:b/>
                <w:bCs/>
                <w:sz w:val="20"/>
                <w:szCs w:val="20"/>
              </w:rPr>
              <w:t>Technical Regulation</w:t>
            </w:r>
          </w:p>
        </w:tc>
      </w:tr>
      <w:tr w:rsidR="00AE3598" w:rsidRPr="00DC175E" w14:paraId="07DE77B0" w14:textId="77777777" w:rsidTr="003B1CE3">
        <w:trPr>
          <w:trHeight w:val="432"/>
          <w:tblHeader/>
        </w:trPr>
        <w:tc>
          <w:tcPr>
            <w:tcW w:w="5000" w:type="pct"/>
            <w:vAlign w:val="center"/>
          </w:tcPr>
          <w:p w14:paraId="230B6996" w14:textId="166784CD" w:rsidR="00AE3598" w:rsidRPr="00DC175E" w:rsidRDefault="00AE3598" w:rsidP="00AE3598">
            <w:pPr>
              <w:bidi w:val="0"/>
              <w:jc w:val="center"/>
              <w:rPr>
                <w:rFonts w:ascii="HelveticaNeueLT Arabic 55 Roman" w:hAnsi="HelveticaNeueLT Arabic 55 Roman" w:cs="HelveticaNeueLT Arabic 55 Roman"/>
                <w:b/>
                <w:bCs/>
                <w:color w:val="000000" w:themeColor="text1"/>
                <w:sz w:val="20"/>
                <w:szCs w:val="20"/>
              </w:rPr>
            </w:pPr>
            <w:r w:rsidRPr="00F409E2">
              <w:rPr>
                <w:rFonts w:ascii="HelveticaNeueLT Arabic 55 Roman" w:hAnsi="HelveticaNeueLT Arabic 55 Roman" w:cs="HelveticaNeueLT Arabic 55 Roman"/>
                <w:b/>
                <w:bCs/>
                <w:color w:val="000000" w:themeColor="text1"/>
                <w:sz w:val="18"/>
                <w:szCs w:val="18"/>
              </w:rPr>
              <w:t>MS Technical Regulation for Personal Electrical Transporters (DGSM-CS-TR-1).</w:t>
            </w:r>
          </w:p>
        </w:tc>
      </w:tr>
      <w:tr w:rsidR="007942CA" w:rsidRPr="00DC175E" w14:paraId="78737804" w14:textId="77777777" w:rsidTr="003B1CE3">
        <w:trPr>
          <w:tblHeader/>
        </w:trPr>
        <w:tc>
          <w:tcPr>
            <w:tcW w:w="5000" w:type="pct"/>
            <w:shd w:val="clear" w:color="auto" w:fill="C00000"/>
            <w:vAlign w:val="center"/>
          </w:tcPr>
          <w:p w14:paraId="7CA24664" w14:textId="77777777" w:rsidR="007942CA" w:rsidRPr="00DC175E" w:rsidRDefault="007942CA" w:rsidP="007942CA">
            <w:pPr>
              <w:bidi w:val="0"/>
              <w:jc w:val="center"/>
              <w:rPr>
                <w:rFonts w:ascii="HelveticaNeueLT Arabic 55 Roman" w:hAnsi="HelveticaNeueLT Arabic 55 Roman" w:cs="HelveticaNeueLT Arabic 55 Roman"/>
                <w:b/>
                <w:bCs/>
                <w:sz w:val="20"/>
                <w:szCs w:val="20"/>
              </w:rPr>
            </w:pPr>
            <w:r w:rsidRPr="00DC175E">
              <w:rPr>
                <w:rFonts w:ascii="HelveticaNeueLT Arabic 55 Roman" w:hAnsi="HelveticaNeueLT Arabic 55 Roman" w:cs="HelveticaNeueLT Arabic 55 Roman"/>
                <w:b/>
                <w:bCs/>
                <w:sz w:val="20"/>
                <w:szCs w:val="20"/>
              </w:rPr>
              <w:t>Conformity assessment procedures / article</w:t>
            </w:r>
          </w:p>
        </w:tc>
      </w:tr>
      <w:tr w:rsidR="007942CA" w:rsidRPr="00DC175E" w14:paraId="4B16EDEB" w14:textId="77777777" w:rsidTr="003B1CE3">
        <w:trPr>
          <w:trHeight w:val="345"/>
          <w:tblHeader/>
        </w:trPr>
        <w:tc>
          <w:tcPr>
            <w:tcW w:w="5000" w:type="pct"/>
            <w:vAlign w:val="center"/>
          </w:tcPr>
          <w:p w14:paraId="00D01DE1" w14:textId="5DD0DA8D" w:rsidR="007942CA" w:rsidRPr="0064124A" w:rsidRDefault="007942CA" w:rsidP="007942CA">
            <w:pPr>
              <w:bidi w:val="0"/>
              <w:jc w:val="center"/>
              <w:rPr>
                <w:rFonts w:ascii="HelveticaNeueLT Arabic 55 Roman" w:hAnsi="HelveticaNeueLT Arabic 55 Roman" w:cs="HelveticaNeueLT Arabic 55 Roman"/>
                <w:b/>
                <w:bCs/>
                <w:color w:val="000000" w:themeColor="text1"/>
                <w:sz w:val="20"/>
                <w:szCs w:val="20"/>
              </w:rPr>
            </w:pPr>
            <w:r w:rsidRPr="00DC175E">
              <w:rPr>
                <w:rFonts w:ascii="HelveticaNeueLT Arabic 55 Roman" w:eastAsia="SimSun" w:hAnsi="HelveticaNeueLT Arabic 55 Roman" w:cs="HelveticaNeueLT Arabic 55 Roman"/>
                <w:color w:val="000000"/>
                <w:sz w:val="20"/>
                <w:szCs w:val="20"/>
              </w:rPr>
              <w:t>Conformity Assessment Procedure for low voltage equipment and appliances (DGSM – CAP- 2 -22)</w:t>
            </w:r>
          </w:p>
        </w:tc>
      </w:tr>
    </w:tbl>
    <w:p w14:paraId="1757E063" w14:textId="77777777" w:rsidR="008979BE" w:rsidRPr="00DC175E" w:rsidRDefault="008979BE" w:rsidP="008979BE">
      <w:pPr>
        <w:tabs>
          <w:tab w:val="left" w:pos="2899"/>
        </w:tabs>
        <w:bidi w:val="0"/>
        <w:spacing w:after="0" w:line="240" w:lineRule="auto"/>
        <w:contextualSpacing/>
        <w:rPr>
          <w:rFonts w:ascii="HelveticaNeueLT Arabic 55 Roman" w:hAnsi="HelveticaNeueLT Arabic 55 Roman" w:cs="HelveticaNeueLT Arabic 55 Roman"/>
          <w:sz w:val="16"/>
          <w:szCs w:val="16"/>
        </w:rPr>
      </w:pPr>
    </w:p>
    <w:tbl>
      <w:tblPr>
        <w:tblStyle w:val="TableGrid"/>
        <w:tblW w:w="5006" w:type="pct"/>
        <w:tblInd w:w="-6" w:type="dxa"/>
        <w:tblLook w:val="04A0" w:firstRow="1" w:lastRow="0" w:firstColumn="1" w:lastColumn="0" w:noHBand="0" w:noVBand="1"/>
      </w:tblPr>
      <w:tblGrid>
        <w:gridCol w:w="2516"/>
        <w:gridCol w:w="2886"/>
        <w:gridCol w:w="4053"/>
        <w:gridCol w:w="3511"/>
      </w:tblGrid>
      <w:tr w:rsidR="00907707" w:rsidRPr="00DC175E" w14:paraId="614F5900" w14:textId="77777777" w:rsidTr="001A5E9F">
        <w:trPr>
          <w:tblHeader/>
        </w:trPr>
        <w:tc>
          <w:tcPr>
            <w:tcW w:w="970" w:type="pct"/>
            <w:shd w:val="clear" w:color="auto" w:fill="C00000"/>
            <w:vAlign w:val="center"/>
          </w:tcPr>
          <w:p w14:paraId="4BF7C8C0" w14:textId="77777777" w:rsidR="003D0E15" w:rsidRPr="00DC175E" w:rsidRDefault="003D0E15" w:rsidP="00124AA1">
            <w:pPr>
              <w:bidi w:val="0"/>
              <w:jc w:val="center"/>
              <w:rPr>
                <w:rFonts w:ascii="HelveticaNeueLT Arabic 55 Roman" w:hAnsi="HelveticaNeueLT Arabic 55 Roman" w:cs="HelveticaNeueLT Arabic 55 Roman"/>
                <w:b/>
                <w:bCs/>
                <w:sz w:val="20"/>
                <w:szCs w:val="20"/>
              </w:rPr>
            </w:pPr>
            <w:r w:rsidRPr="00DC175E">
              <w:rPr>
                <w:rFonts w:ascii="HelveticaNeueLT Arabic 55 Roman" w:hAnsi="HelveticaNeueLT Arabic 55 Roman" w:cs="HelveticaNeueLT Arabic 55 Roman"/>
                <w:b/>
                <w:bCs/>
                <w:sz w:val="20"/>
                <w:szCs w:val="20"/>
              </w:rPr>
              <w:t>Category of products</w:t>
            </w:r>
          </w:p>
        </w:tc>
        <w:tc>
          <w:tcPr>
            <w:tcW w:w="1113" w:type="pct"/>
            <w:shd w:val="clear" w:color="auto" w:fill="C00000"/>
            <w:vAlign w:val="center"/>
          </w:tcPr>
          <w:p w14:paraId="7BDD3E85" w14:textId="77777777" w:rsidR="003D0E15" w:rsidRPr="00DC175E" w:rsidRDefault="003D0E15" w:rsidP="00124AA1">
            <w:pPr>
              <w:bidi w:val="0"/>
              <w:jc w:val="center"/>
              <w:rPr>
                <w:rFonts w:ascii="HelveticaNeueLT Arabic 55 Roman" w:hAnsi="HelveticaNeueLT Arabic 55 Roman" w:cs="HelveticaNeueLT Arabic 55 Roman"/>
                <w:b/>
                <w:bCs/>
                <w:sz w:val="20"/>
                <w:szCs w:val="20"/>
              </w:rPr>
            </w:pPr>
            <w:r w:rsidRPr="00DC175E">
              <w:rPr>
                <w:rFonts w:ascii="HelveticaNeueLT Arabic 55 Roman" w:hAnsi="HelveticaNeueLT Arabic 55 Roman" w:cs="HelveticaNeueLT Arabic 55 Roman"/>
                <w:b/>
                <w:bCs/>
                <w:sz w:val="20"/>
                <w:szCs w:val="20"/>
              </w:rPr>
              <w:t>Items, Materials or Products</w:t>
            </w:r>
          </w:p>
        </w:tc>
        <w:tc>
          <w:tcPr>
            <w:tcW w:w="1563" w:type="pct"/>
            <w:shd w:val="clear" w:color="auto" w:fill="C00000"/>
            <w:vAlign w:val="center"/>
          </w:tcPr>
          <w:p w14:paraId="71B478A3" w14:textId="77777777" w:rsidR="003D0E15" w:rsidRPr="00DC175E" w:rsidRDefault="003D0E15" w:rsidP="00124AA1">
            <w:pPr>
              <w:bidi w:val="0"/>
              <w:jc w:val="center"/>
              <w:rPr>
                <w:rFonts w:ascii="HelveticaNeueLT Arabic 55 Roman" w:hAnsi="HelveticaNeueLT Arabic 55 Roman" w:cs="HelveticaNeueLT Arabic 55 Roman"/>
                <w:b/>
                <w:bCs/>
                <w:sz w:val="20"/>
                <w:szCs w:val="20"/>
              </w:rPr>
            </w:pPr>
            <w:r w:rsidRPr="00DC175E">
              <w:rPr>
                <w:rFonts w:ascii="HelveticaNeueLT Arabic 55 Roman" w:hAnsi="HelveticaNeueLT Arabic 55 Roman" w:cs="HelveticaNeueLT Arabic 55 Roman"/>
                <w:b/>
                <w:bCs/>
                <w:sz w:val="20"/>
                <w:szCs w:val="20"/>
              </w:rPr>
              <w:t>Specific Tests or Properties Measured</w:t>
            </w:r>
          </w:p>
        </w:tc>
        <w:tc>
          <w:tcPr>
            <w:tcW w:w="1354" w:type="pct"/>
            <w:shd w:val="clear" w:color="auto" w:fill="C00000"/>
            <w:vAlign w:val="center"/>
          </w:tcPr>
          <w:p w14:paraId="3384FD07" w14:textId="77777777" w:rsidR="003D0E15" w:rsidRPr="00DC175E" w:rsidRDefault="003D0E15" w:rsidP="00124AA1">
            <w:pPr>
              <w:bidi w:val="0"/>
              <w:jc w:val="center"/>
              <w:rPr>
                <w:rFonts w:ascii="HelveticaNeueLT Arabic 55 Roman" w:hAnsi="HelveticaNeueLT Arabic 55 Roman" w:cs="HelveticaNeueLT Arabic 55 Roman"/>
                <w:b/>
                <w:bCs/>
                <w:sz w:val="20"/>
                <w:szCs w:val="20"/>
              </w:rPr>
            </w:pPr>
            <w:r w:rsidRPr="00DC175E">
              <w:rPr>
                <w:rFonts w:ascii="HelveticaNeueLT Arabic 55 Roman" w:hAnsi="HelveticaNeueLT Arabic 55 Roman" w:cs="HelveticaNeueLT Arabic 55 Roman"/>
                <w:b/>
                <w:bCs/>
                <w:sz w:val="20"/>
                <w:szCs w:val="20"/>
              </w:rPr>
              <w:t xml:space="preserve">Specification, Standard Method or </w:t>
            </w:r>
          </w:p>
          <w:p w14:paraId="0FEBBA1B" w14:textId="77777777" w:rsidR="003D0E15" w:rsidRPr="00DC175E" w:rsidRDefault="003D0E15" w:rsidP="00124AA1">
            <w:pPr>
              <w:bidi w:val="0"/>
              <w:jc w:val="center"/>
              <w:rPr>
                <w:rFonts w:ascii="HelveticaNeueLT Arabic 55 Roman" w:hAnsi="HelveticaNeueLT Arabic 55 Roman" w:cs="HelveticaNeueLT Arabic 55 Roman"/>
                <w:b/>
                <w:bCs/>
                <w:sz w:val="20"/>
                <w:szCs w:val="20"/>
              </w:rPr>
            </w:pPr>
            <w:r w:rsidRPr="00DC175E">
              <w:rPr>
                <w:rFonts w:ascii="HelveticaNeueLT Arabic 55 Roman" w:hAnsi="HelveticaNeueLT Arabic 55 Roman" w:cs="HelveticaNeueLT Arabic 55 Roman"/>
                <w:b/>
                <w:bCs/>
                <w:sz w:val="20"/>
                <w:szCs w:val="20"/>
              </w:rPr>
              <w:t>Technique Used</w:t>
            </w:r>
          </w:p>
        </w:tc>
      </w:tr>
      <w:tr w:rsidR="001A5E9F" w:rsidRPr="00907707" w14:paraId="18F05FE0" w14:textId="77777777" w:rsidTr="001A5E9F">
        <w:tc>
          <w:tcPr>
            <w:tcW w:w="970" w:type="pct"/>
            <w:vMerge w:val="restart"/>
          </w:tcPr>
          <w:p w14:paraId="1749BE2B" w14:textId="77777777" w:rsidR="001A5E9F" w:rsidRDefault="001A5E9F" w:rsidP="000E4DED">
            <w:pPr>
              <w:pStyle w:val="NoSpacing"/>
              <w:bidi w:val="0"/>
              <w:rPr>
                <w:rFonts w:asciiTheme="majorHAnsi" w:hAnsiTheme="majorHAnsi"/>
                <w:color w:val="0070C0"/>
                <w:sz w:val="18"/>
                <w:szCs w:val="18"/>
              </w:rPr>
            </w:pPr>
            <w:r w:rsidRPr="00907707">
              <w:rPr>
                <w:rFonts w:asciiTheme="majorHAnsi" w:hAnsiTheme="majorHAnsi"/>
                <w:color w:val="0070C0"/>
                <w:sz w:val="18"/>
                <w:szCs w:val="18"/>
              </w:rPr>
              <w:t>Household and similar electrical appliances</w:t>
            </w:r>
          </w:p>
          <w:p w14:paraId="4797AE42" w14:textId="77777777" w:rsidR="00257256" w:rsidRPr="00257256" w:rsidRDefault="00257256" w:rsidP="00257256"/>
          <w:p w14:paraId="56FED69B" w14:textId="77777777" w:rsidR="00257256" w:rsidRPr="00257256" w:rsidRDefault="00257256" w:rsidP="00257256"/>
          <w:p w14:paraId="71CBE459" w14:textId="77777777" w:rsidR="00257256" w:rsidRPr="00257256" w:rsidRDefault="00257256" w:rsidP="00257256"/>
          <w:p w14:paraId="57E3A6E5" w14:textId="77777777" w:rsidR="00257256" w:rsidRPr="00257256" w:rsidRDefault="00257256" w:rsidP="00257256"/>
          <w:p w14:paraId="1871B509" w14:textId="77777777" w:rsidR="00257256" w:rsidRPr="00257256" w:rsidRDefault="00257256" w:rsidP="00257256"/>
        </w:tc>
        <w:tc>
          <w:tcPr>
            <w:tcW w:w="1113" w:type="pct"/>
          </w:tcPr>
          <w:p w14:paraId="5D3ACE58" w14:textId="77777777" w:rsidR="001A5E9F" w:rsidRPr="00907707" w:rsidRDefault="001A5E9F" w:rsidP="000E4DED">
            <w:pPr>
              <w:pStyle w:val="NoSpacing"/>
              <w:bidi w:val="0"/>
              <w:rPr>
                <w:rFonts w:asciiTheme="majorHAnsi" w:hAnsiTheme="majorHAnsi"/>
                <w:color w:val="0070C0"/>
                <w:sz w:val="18"/>
                <w:szCs w:val="18"/>
              </w:rPr>
            </w:pPr>
            <w:r w:rsidRPr="00907707">
              <w:rPr>
                <w:rFonts w:asciiTheme="majorHAnsi" w:hAnsiTheme="majorHAnsi"/>
                <w:color w:val="0070C0"/>
                <w:sz w:val="18"/>
                <w:szCs w:val="18"/>
              </w:rPr>
              <w:t>Household appliances, general</w:t>
            </w:r>
          </w:p>
          <w:p w14:paraId="340AE906" w14:textId="77777777" w:rsidR="001A5E9F" w:rsidRPr="00907707" w:rsidRDefault="001A5E9F" w:rsidP="000E4DED">
            <w:pPr>
              <w:pStyle w:val="NoSpacing"/>
              <w:bidi w:val="0"/>
              <w:rPr>
                <w:rFonts w:asciiTheme="majorHAnsi" w:hAnsiTheme="majorHAnsi"/>
                <w:color w:val="0070C0"/>
                <w:sz w:val="18"/>
                <w:szCs w:val="18"/>
              </w:rPr>
            </w:pPr>
            <w:r w:rsidRPr="00907707">
              <w:rPr>
                <w:rFonts w:asciiTheme="majorHAnsi" w:hAnsiTheme="majorHAnsi"/>
                <w:color w:val="0070C0"/>
                <w:sz w:val="18"/>
                <w:szCs w:val="18"/>
              </w:rPr>
              <w:t>requirements</w:t>
            </w:r>
          </w:p>
        </w:tc>
        <w:tc>
          <w:tcPr>
            <w:tcW w:w="1563" w:type="pct"/>
          </w:tcPr>
          <w:p w14:paraId="219A69F7" w14:textId="77777777" w:rsidR="001A5E9F" w:rsidRPr="00907707" w:rsidRDefault="001A5E9F" w:rsidP="000E4DED">
            <w:pPr>
              <w:pStyle w:val="NoSpacing"/>
              <w:bidi w:val="0"/>
              <w:rPr>
                <w:rFonts w:asciiTheme="majorHAnsi" w:hAnsiTheme="majorHAnsi"/>
                <w:color w:val="0070C0"/>
                <w:sz w:val="18"/>
                <w:szCs w:val="18"/>
              </w:rPr>
            </w:pPr>
            <w:r w:rsidRPr="00907707">
              <w:rPr>
                <w:rFonts w:asciiTheme="majorHAnsi" w:hAnsiTheme="majorHAnsi"/>
                <w:color w:val="0070C0"/>
                <w:sz w:val="18"/>
                <w:szCs w:val="18"/>
              </w:rPr>
              <w:t>Household and similar electrical appliances - Safety - Part 1: General requirements</w:t>
            </w:r>
          </w:p>
          <w:p w14:paraId="3BDFF9F4" w14:textId="77777777" w:rsidR="001A5E9F" w:rsidRPr="00907707" w:rsidRDefault="001A5E9F" w:rsidP="000E4DED">
            <w:pPr>
              <w:pStyle w:val="NoSpacing"/>
              <w:bidi w:val="0"/>
              <w:rPr>
                <w:rFonts w:asciiTheme="majorHAnsi" w:hAnsiTheme="majorHAnsi"/>
                <w:color w:val="0070C0"/>
                <w:sz w:val="18"/>
                <w:szCs w:val="18"/>
              </w:rPr>
            </w:pPr>
          </w:p>
        </w:tc>
        <w:tc>
          <w:tcPr>
            <w:tcW w:w="1354" w:type="pct"/>
          </w:tcPr>
          <w:p w14:paraId="1A84DB96" w14:textId="77777777" w:rsidR="001A5E9F" w:rsidRPr="00907707" w:rsidRDefault="001A5E9F" w:rsidP="000E4DED">
            <w:pPr>
              <w:pStyle w:val="NoSpacing"/>
              <w:bidi w:val="0"/>
              <w:rPr>
                <w:rFonts w:asciiTheme="majorHAnsi" w:hAnsiTheme="majorHAnsi"/>
                <w:color w:val="0070C0"/>
                <w:sz w:val="18"/>
                <w:szCs w:val="18"/>
              </w:rPr>
            </w:pPr>
            <w:r w:rsidRPr="00907707">
              <w:rPr>
                <w:rFonts w:asciiTheme="majorHAnsi" w:hAnsiTheme="majorHAnsi"/>
                <w:color w:val="0070C0"/>
                <w:sz w:val="18"/>
                <w:szCs w:val="18"/>
              </w:rPr>
              <w:t>GSO IEC 60335-1</w:t>
            </w:r>
          </w:p>
          <w:p w14:paraId="75E8CA14" w14:textId="77777777" w:rsidR="001A5E9F" w:rsidRPr="00907707" w:rsidRDefault="001A5E9F" w:rsidP="000E4DED">
            <w:pPr>
              <w:pStyle w:val="NoSpacing"/>
              <w:bidi w:val="0"/>
              <w:rPr>
                <w:rFonts w:asciiTheme="majorHAnsi" w:hAnsiTheme="majorHAnsi"/>
                <w:color w:val="0070C0"/>
                <w:sz w:val="18"/>
                <w:szCs w:val="18"/>
              </w:rPr>
            </w:pPr>
            <w:r w:rsidRPr="00907707">
              <w:rPr>
                <w:rFonts w:asciiTheme="majorHAnsi" w:hAnsiTheme="majorHAnsi"/>
                <w:color w:val="0070C0"/>
                <w:sz w:val="18"/>
                <w:szCs w:val="18"/>
              </w:rPr>
              <w:t>IEC 60335-1: 2010+A1:2013+A2:2016</w:t>
            </w:r>
          </w:p>
          <w:p w14:paraId="7E9D5121" w14:textId="77777777" w:rsidR="001A5E9F" w:rsidRPr="00907707" w:rsidRDefault="001A5E9F" w:rsidP="000E4DED">
            <w:pPr>
              <w:pStyle w:val="NoSpacing"/>
              <w:bidi w:val="0"/>
              <w:rPr>
                <w:rFonts w:asciiTheme="majorHAnsi" w:hAnsiTheme="majorHAnsi"/>
                <w:color w:val="0070C0"/>
                <w:sz w:val="18"/>
                <w:szCs w:val="18"/>
              </w:rPr>
            </w:pPr>
            <w:r w:rsidRPr="00907707">
              <w:rPr>
                <w:rFonts w:asciiTheme="majorHAnsi" w:hAnsiTheme="majorHAnsi"/>
                <w:color w:val="0070C0"/>
                <w:sz w:val="18"/>
                <w:szCs w:val="18"/>
              </w:rPr>
              <w:t>IEC 60335-1:2020</w:t>
            </w:r>
          </w:p>
          <w:p w14:paraId="743E6688" w14:textId="77777777" w:rsidR="001A5E9F" w:rsidRPr="00907707" w:rsidRDefault="001A5E9F" w:rsidP="000E4DED">
            <w:pPr>
              <w:pStyle w:val="NoSpacing"/>
              <w:bidi w:val="0"/>
              <w:rPr>
                <w:rFonts w:asciiTheme="majorHAnsi" w:hAnsiTheme="majorHAnsi"/>
                <w:color w:val="0070C0"/>
                <w:sz w:val="18"/>
                <w:szCs w:val="18"/>
              </w:rPr>
            </w:pPr>
          </w:p>
        </w:tc>
      </w:tr>
      <w:tr w:rsidR="001A5E9F" w:rsidRPr="00907707" w14:paraId="13A90073" w14:textId="77777777" w:rsidTr="001A5E9F">
        <w:tc>
          <w:tcPr>
            <w:tcW w:w="970" w:type="pct"/>
            <w:vMerge/>
          </w:tcPr>
          <w:p w14:paraId="589AE093" w14:textId="77777777" w:rsidR="001A5E9F" w:rsidRPr="00907707" w:rsidRDefault="001A5E9F" w:rsidP="000E4DED">
            <w:pPr>
              <w:pStyle w:val="NoSpacing"/>
              <w:bidi w:val="0"/>
              <w:rPr>
                <w:rFonts w:asciiTheme="majorHAnsi" w:hAnsiTheme="majorHAnsi"/>
                <w:color w:val="0070C0"/>
                <w:sz w:val="18"/>
                <w:szCs w:val="18"/>
              </w:rPr>
            </w:pPr>
          </w:p>
        </w:tc>
        <w:tc>
          <w:tcPr>
            <w:tcW w:w="1113" w:type="pct"/>
            <w:vMerge w:val="restart"/>
          </w:tcPr>
          <w:p w14:paraId="48A65D30" w14:textId="77777777" w:rsidR="001A5E9F" w:rsidRPr="00907707" w:rsidRDefault="001A5E9F" w:rsidP="000E4DED">
            <w:pPr>
              <w:pStyle w:val="NoSpacing"/>
              <w:bidi w:val="0"/>
              <w:rPr>
                <w:rFonts w:asciiTheme="majorHAnsi" w:hAnsiTheme="majorHAnsi"/>
                <w:color w:val="0070C0"/>
                <w:sz w:val="18"/>
                <w:szCs w:val="18"/>
              </w:rPr>
            </w:pPr>
            <w:r w:rsidRPr="00907707">
              <w:rPr>
                <w:rFonts w:asciiTheme="majorHAnsi" w:hAnsiTheme="majorHAnsi"/>
                <w:color w:val="0070C0"/>
                <w:sz w:val="18"/>
                <w:szCs w:val="18"/>
              </w:rPr>
              <w:t>Personal Electrical Transporters (Scooter), Hoverboards (self-balancing boards) and e-skateboards</w:t>
            </w:r>
          </w:p>
        </w:tc>
        <w:tc>
          <w:tcPr>
            <w:tcW w:w="1563" w:type="pct"/>
          </w:tcPr>
          <w:p w14:paraId="3151E8F5" w14:textId="77777777" w:rsidR="001A5E9F" w:rsidRPr="00907707" w:rsidRDefault="001A5E9F" w:rsidP="000E4DED">
            <w:pPr>
              <w:pStyle w:val="NoSpacing"/>
              <w:bidi w:val="0"/>
              <w:rPr>
                <w:rFonts w:asciiTheme="majorHAnsi" w:hAnsiTheme="majorHAnsi"/>
                <w:color w:val="0070C0"/>
                <w:sz w:val="18"/>
                <w:szCs w:val="18"/>
              </w:rPr>
            </w:pPr>
          </w:p>
          <w:p w14:paraId="2E62D5C6" w14:textId="475577EA" w:rsidR="001A5E9F" w:rsidRPr="00907707" w:rsidRDefault="001A5E9F" w:rsidP="000E4DED">
            <w:pPr>
              <w:pStyle w:val="NoSpacing"/>
              <w:bidi w:val="0"/>
              <w:rPr>
                <w:rFonts w:asciiTheme="majorHAnsi" w:hAnsiTheme="majorHAnsi"/>
                <w:color w:val="0070C0"/>
                <w:sz w:val="18"/>
                <w:szCs w:val="18"/>
              </w:rPr>
            </w:pPr>
            <w:r w:rsidRPr="00907707">
              <w:rPr>
                <w:rFonts w:asciiTheme="majorHAnsi" w:hAnsiTheme="majorHAnsi"/>
                <w:color w:val="0070C0"/>
                <w:sz w:val="18"/>
                <w:szCs w:val="18"/>
              </w:rPr>
              <w:t xml:space="preserve">Household and similar electrical appliances - Safety - Part 2-114: </w:t>
            </w:r>
            <w:proofErr w:type="gramStart"/>
            <w:r w:rsidRPr="00907707">
              <w:rPr>
                <w:rFonts w:asciiTheme="majorHAnsi" w:hAnsiTheme="majorHAnsi"/>
                <w:color w:val="0070C0"/>
                <w:sz w:val="18"/>
                <w:szCs w:val="18"/>
              </w:rPr>
              <w:t>Particular requirements</w:t>
            </w:r>
            <w:proofErr w:type="gramEnd"/>
            <w:r w:rsidRPr="00907707">
              <w:rPr>
                <w:rFonts w:asciiTheme="majorHAnsi" w:hAnsiTheme="majorHAnsi"/>
                <w:color w:val="0070C0"/>
                <w:sz w:val="18"/>
                <w:szCs w:val="18"/>
              </w:rPr>
              <w:t xml:space="preserve"> for Personal-e-Transporters</w:t>
            </w:r>
          </w:p>
          <w:p w14:paraId="20AFCD72" w14:textId="77777777" w:rsidR="001A5E9F" w:rsidRPr="00907707" w:rsidRDefault="001A5E9F" w:rsidP="000E4DED">
            <w:pPr>
              <w:pStyle w:val="NoSpacing"/>
              <w:bidi w:val="0"/>
              <w:rPr>
                <w:rFonts w:asciiTheme="majorHAnsi" w:hAnsiTheme="majorHAnsi"/>
                <w:color w:val="0070C0"/>
                <w:sz w:val="18"/>
                <w:szCs w:val="18"/>
              </w:rPr>
            </w:pPr>
          </w:p>
          <w:p w14:paraId="136950F4" w14:textId="77777777" w:rsidR="001A5E9F" w:rsidRPr="00907707" w:rsidRDefault="001A5E9F" w:rsidP="000E4DED">
            <w:pPr>
              <w:pStyle w:val="NoSpacing"/>
              <w:bidi w:val="0"/>
              <w:rPr>
                <w:rFonts w:asciiTheme="majorHAnsi" w:hAnsiTheme="majorHAnsi"/>
                <w:color w:val="0070C0"/>
                <w:sz w:val="18"/>
                <w:szCs w:val="18"/>
              </w:rPr>
            </w:pPr>
          </w:p>
        </w:tc>
        <w:tc>
          <w:tcPr>
            <w:tcW w:w="1354" w:type="pct"/>
          </w:tcPr>
          <w:p w14:paraId="4A535F81" w14:textId="77777777" w:rsidR="001A5E9F" w:rsidRPr="00907707" w:rsidRDefault="001A5E9F" w:rsidP="000E4DED">
            <w:pPr>
              <w:pStyle w:val="NoSpacing"/>
              <w:bidi w:val="0"/>
              <w:rPr>
                <w:rFonts w:asciiTheme="majorHAnsi" w:hAnsiTheme="majorHAnsi"/>
                <w:color w:val="0070C0"/>
                <w:sz w:val="18"/>
                <w:szCs w:val="18"/>
              </w:rPr>
            </w:pPr>
          </w:p>
          <w:p w14:paraId="7B83C0E9" w14:textId="77777777" w:rsidR="001A5E9F" w:rsidRPr="00907707" w:rsidRDefault="001A5E9F" w:rsidP="000E4DED">
            <w:pPr>
              <w:pStyle w:val="NoSpacing"/>
              <w:bidi w:val="0"/>
              <w:rPr>
                <w:rFonts w:asciiTheme="majorHAnsi" w:hAnsiTheme="majorHAnsi"/>
                <w:color w:val="0070C0"/>
                <w:sz w:val="18"/>
                <w:szCs w:val="18"/>
              </w:rPr>
            </w:pPr>
            <w:r w:rsidRPr="00907707">
              <w:rPr>
                <w:rFonts w:asciiTheme="majorHAnsi" w:hAnsiTheme="majorHAnsi"/>
                <w:color w:val="0070C0"/>
                <w:sz w:val="18"/>
                <w:szCs w:val="18"/>
              </w:rPr>
              <w:t>GSO IEC 60335-2-114</w:t>
            </w:r>
          </w:p>
          <w:p w14:paraId="088C9DD0" w14:textId="77777777" w:rsidR="001A5E9F" w:rsidRPr="00907707" w:rsidRDefault="001A5E9F" w:rsidP="000E4DED">
            <w:pPr>
              <w:pStyle w:val="NoSpacing"/>
              <w:bidi w:val="0"/>
              <w:rPr>
                <w:rFonts w:asciiTheme="majorHAnsi" w:hAnsiTheme="majorHAnsi"/>
                <w:color w:val="0070C0"/>
                <w:sz w:val="18"/>
                <w:szCs w:val="18"/>
              </w:rPr>
            </w:pPr>
            <w:r w:rsidRPr="00907707">
              <w:rPr>
                <w:rFonts w:asciiTheme="majorHAnsi" w:hAnsiTheme="majorHAnsi"/>
                <w:color w:val="0070C0"/>
                <w:sz w:val="18"/>
                <w:szCs w:val="18"/>
              </w:rPr>
              <w:t>GSO IEC 60335-2-114:2022</w:t>
            </w:r>
          </w:p>
          <w:p w14:paraId="158EEF16" w14:textId="77777777" w:rsidR="001A5E9F" w:rsidRPr="00907707" w:rsidRDefault="001A5E9F" w:rsidP="000E4DED">
            <w:pPr>
              <w:pStyle w:val="NoSpacing"/>
              <w:bidi w:val="0"/>
              <w:rPr>
                <w:rFonts w:asciiTheme="majorHAnsi" w:hAnsiTheme="majorHAnsi"/>
                <w:color w:val="0070C0"/>
                <w:sz w:val="18"/>
                <w:szCs w:val="18"/>
              </w:rPr>
            </w:pPr>
            <w:r w:rsidRPr="00907707">
              <w:rPr>
                <w:rFonts w:asciiTheme="majorHAnsi" w:hAnsiTheme="majorHAnsi"/>
                <w:color w:val="0070C0"/>
                <w:sz w:val="18"/>
                <w:szCs w:val="18"/>
              </w:rPr>
              <w:t>IEC 60335-2-114:2022/AMD1:2025</w:t>
            </w:r>
          </w:p>
          <w:p w14:paraId="2776CD26" w14:textId="77777777" w:rsidR="001A5E9F" w:rsidRPr="00907707" w:rsidRDefault="001A5E9F" w:rsidP="000E4DED">
            <w:pPr>
              <w:pStyle w:val="NoSpacing"/>
              <w:bidi w:val="0"/>
              <w:rPr>
                <w:rFonts w:asciiTheme="majorHAnsi" w:hAnsiTheme="majorHAnsi"/>
                <w:color w:val="0070C0"/>
                <w:sz w:val="18"/>
                <w:szCs w:val="18"/>
              </w:rPr>
            </w:pPr>
          </w:p>
        </w:tc>
      </w:tr>
      <w:tr w:rsidR="0054151D" w:rsidRPr="00907707" w14:paraId="5C9767D7" w14:textId="77777777" w:rsidTr="001A5E9F">
        <w:tc>
          <w:tcPr>
            <w:tcW w:w="970" w:type="pct"/>
            <w:vMerge/>
          </w:tcPr>
          <w:p w14:paraId="771945C0" w14:textId="77777777" w:rsidR="0054151D" w:rsidRPr="00907707" w:rsidRDefault="0054151D" w:rsidP="0054151D">
            <w:pPr>
              <w:pStyle w:val="NoSpacing"/>
              <w:bidi w:val="0"/>
              <w:rPr>
                <w:rFonts w:asciiTheme="majorHAnsi" w:hAnsiTheme="majorHAnsi"/>
                <w:color w:val="0070C0"/>
                <w:sz w:val="18"/>
                <w:szCs w:val="18"/>
              </w:rPr>
            </w:pPr>
          </w:p>
        </w:tc>
        <w:tc>
          <w:tcPr>
            <w:tcW w:w="1113" w:type="pct"/>
            <w:vMerge/>
          </w:tcPr>
          <w:p w14:paraId="1F95DEF9" w14:textId="77777777" w:rsidR="0054151D" w:rsidRPr="00907707" w:rsidRDefault="0054151D" w:rsidP="0054151D">
            <w:pPr>
              <w:pStyle w:val="NoSpacing"/>
              <w:bidi w:val="0"/>
              <w:rPr>
                <w:rFonts w:asciiTheme="majorHAnsi" w:hAnsiTheme="majorHAnsi"/>
                <w:color w:val="0070C0"/>
                <w:sz w:val="18"/>
                <w:szCs w:val="18"/>
              </w:rPr>
            </w:pPr>
          </w:p>
        </w:tc>
        <w:tc>
          <w:tcPr>
            <w:tcW w:w="1563" w:type="pct"/>
          </w:tcPr>
          <w:p w14:paraId="5397B2A0" w14:textId="7990E95C" w:rsidR="0054151D" w:rsidRPr="00B33010" w:rsidRDefault="0054151D" w:rsidP="0054151D">
            <w:pPr>
              <w:pStyle w:val="NoSpacing"/>
              <w:bidi w:val="0"/>
              <w:rPr>
                <w:rFonts w:asciiTheme="majorHAnsi" w:hAnsiTheme="majorHAnsi"/>
                <w:color w:val="0070C0"/>
                <w:sz w:val="18"/>
                <w:szCs w:val="18"/>
              </w:rPr>
            </w:pPr>
            <w:r w:rsidRPr="00907707">
              <w:rPr>
                <w:rFonts w:asciiTheme="majorHAnsi" w:hAnsiTheme="majorHAnsi"/>
                <w:color w:val="0070C0"/>
                <w:sz w:val="18"/>
                <w:szCs w:val="18"/>
              </w:rPr>
              <w:t xml:space="preserve">Light motorized vehicles for the transportation of persons and goods and related facilities and not subject to type-approval for on-road use - </w:t>
            </w:r>
            <w:r w:rsidRPr="00907707">
              <w:rPr>
                <w:rFonts w:asciiTheme="majorHAnsi" w:hAnsiTheme="majorHAnsi"/>
                <w:color w:val="0070C0"/>
                <w:sz w:val="18"/>
                <w:szCs w:val="18"/>
              </w:rPr>
              <w:lastRenderedPageBreak/>
              <w:t>Personal light electric vehicles (PLEV) - Requirements and test methods</w:t>
            </w:r>
          </w:p>
        </w:tc>
        <w:tc>
          <w:tcPr>
            <w:tcW w:w="1354" w:type="pct"/>
          </w:tcPr>
          <w:p w14:paraId="35659766" w14:textId="77777777" w:rsidR="0054151D" w:rsidRPr="00907707" w:rsidRDefault="0054151D" w:rsidP="0054151D">
            <w:pPr>
              <w:pStyle w:val="NoSpacing"/>
              <w:bidi w:val="0"/>
              <w:rPr>
                <w:rFonts w:asciiTheme="majorHAnsi" w:hAnsiTheme="majorHAnsi"/>
                <w:color w:val="0070C0"/>
                <w:sz w:val="18"/>
                <w:szCs w:val="18"/>
              </w:rPr>
            </w:pPr>
            <w:r w:rsidRPr="00907707">
              <w:rPr>
                <w:rFonts w:asciiTheme="majorHAnsi" w:hAnsiTheme="majorHAnsi"/>
                <w:color w:val="0070C0"/>
                <w:sz w:val="18"/>
                <w:szCs w:val="18"/>
              </w:rPr>
              <w:lastRenderedPageBreak/>
              <w:t>GSO EN 17128</w:t>
            </w:r>
          </w:p>
          <w:p w14:paraId="156DE372" w14:textId="77777777" w:rsidR="0054151D" w:rsidRPr="00907707" w:rsidRDefault="0054151D" w:rsidP="0054151D">
            <w:pPr>
              <w:pStyle w:val="NoSpacing"/>
              <w:bidi w:val="0"/>
              <w:rPr>
                <w:rFonts w:asciiTheme="majorHAnsi" w:hAnsiTheme="majorHAnsi"/>
                <w:color w:val="0070C0"/>
                <w:sz w:val="18"/>
                <w:szCs w:val="18"/>
              </w:rPr>
            </w:pPr>
            <w:r w:rsidRPr="00907707">
              <w:rPr>
                <w:rFonts w:asciiTheme="majorHAnsi" w:hAnsiTheme="majorHAnsi"/>
                <w:color w:val="0070C0"/>
                <w:sz w:val="18"/>
                <w:szCs w:val="18"/>
              </w:rPr>
              <w:t>EN 17128: 2020</w:t>
            </w:r>
          </w:p>
          <w:p w14:paraId="7DAC787E" w14:textId="77777777" w:rsidR="0054151D" w:rsidRPr="00B33010" w:rsidRDefault="0054151D" w:rsidP="0054151D">
            <w:pPr>
              <w:pStyle w:val="NoSpacing"/>
              <w:bidi w:val="0"/>
              <w:rPr>
                <w:rFonts w:asciiTheme="majorHAnsi" w:hAnsiTheme="majorHAnsi"/>
                <w:color w:val="0070C0"/>
                <w:sz w:val="18"/>
                <w:szCs w:val="18"/>
              </w:rPr>
            </w:pPr>
          </w:p>
        </w:tc>
      </w:tr>
      <w:tr w:rsidR="00B33010" w:rsidRPr="00907707" w14:paraId="206308BD" w14:textId="77777777" w:rsidTr="001A5E9F">
        <w:tc>
          <w:tcPr>
            <w:tcW w:w="970" w:type="pct"/>
            <w:vMerge/>
          </w:tcPr>
          <w:p w14:paraId="3BE92A7D" w14:textId="77777777" w:rsidR="00B33010" w:rsidRPr="00907707" w:rsidRDefault="00B33010" w:rsidP="00B33010">
            <w:pPr>
              <w:pStyle w:val="NoSpacing"/>
              <w:bidi w:val="0"/>
              <w:rPr>
                <w:rFonts w:asciiTheme="majorHAnsi" w:hAnsiTheme="majorHAnsi"/>
                <w:color w:val="0070C0"/>
                <w:sz w:val="18"/>
                <w:szCs w:val="18"/>
              </w:rPr>
            </w:pPr>
          </w:p>
        </w:tc>
        <w:tc>
          <w:tcPr>
            <w:tcW w:w="1113" w:type="pct"/>
            <w:vMerge/>
          </w:tcPr>
          <w:p w14:paraId="7B0FE089" w14:textId="77777777" w:rsidR="00B33010" w:rsidRPr="00907707" w:rsidRDefault="00B33010" w:rsidP="00B33010">
            <w:pPr>
              <w:pStyle w:val="NoSpacing"/>
              <w:bidi w:val="0"/>
              <w:rPr>
                <w:rFonts w:asciiTheme="majorHAnsi" w:hAnsiTheme="majorHAnsi"/>
                <w:color w:val="0070C0"/>
                <w:sz w:val="18"/>
                <w:szCs w:val="18"/>
              </w:rPr>
            </w:pPr>
          </w:p>
        </w:tc>
        <w:tc>
          <w:tcPr>
            <w:tcW w:w="1563" w:type="pct"/>
          </w:tcPr>
          <w:p w14:paraId="2B25F3E3" w14:textId="578F6128" w:rsidR="00B33010" w:rsidRPr="00B33010" w:rsidRDefault="00B33010" w:rsidP="00B33010">
            <w:pPr>
              <w:pStyle w:val="NoSpacing"/>
              <w:bidi w:val="0"/>
              <w:rPr>
                <w:rFonts w:asciiTheme="majorHAnsi" w:hAnsiTheme="majorHAnsi"/>
                <w:color w:val="0070C0"/>
                <w:sz w:val="18"/>
                <w:szCs w:val="18"/>
              </w:rPr>
            </w:pPr>
            <w:r w:rsidRPr="00B33010">
              <w:rPr>
                <w:rFonts w:asciiTheme="majorHAnsi" w:hAnsiTheme="majorHAnsi"/>
                <w:color w:val="0070C0"/>
                <w:sz w:val="18"/>
                <w:szCs w:val="18"/>
              </w:rPr>
              <w:t>Secondary cells and batteries containing alkaline or other non-acid electrolytes - Safety requirements for portable sealed secondary cells, and for batteries made from them, for use in portable applications - Part 1: Nickel systems</w:t>
            </w:r>
          </w:p>
        </w:tc>
        <w:tc>
          <w:tcPr>
            <w:tcW w:w="1354" w:type="pct"/>
          </w:tcPr>
          <w:p w14:paraId="328F1153" w14:textId="77777777" w:rsidR="00B33010" w:rsidRPr="00B33010" w:rsidRDefault="00B33010" w:rsidP="00B33010">
            <w:pPr>
              <w:pStyle w:val="NoSpacing"/>
              <w:bidi w:val="0"/>
              <w:rPr>
                <w:rFonts w:asciiTheme="majorHAnsi" w:hAnsiTheme="majorHAnsi"/>
                <w:color w:val="0070C0"/>
                <w:sz w:val="18"/>
                <w:szCs w:val="18"/>
              </w:rPr>
            </w:pPr>
            <w:r w:rsidRPr="00B33010">
              <w:rPr>
                <w:rFonts w:asciiTheme="majorHAnsi" w:hAnsiTheme="majorHAnsi"/>
                <w:color w:val="0070C0"/>
                <w:sz w:val="18"/>
                <w:szCs w:val="18"/>
              </w:rPr>
              <w:t>GSO IEC 62133-1</w:t>
            </w:r>
          </w:p>
          <w:p w14:paraId="3598762B" w14:textId="77777777" w:rsidR="00B33010" w:rsidRPr="00B33010" w:rsidRDefault="00B33010" w:rsidP="00B33010">
            <w:pPr>
              <w:pStyle w:val="NoSpacing"/>
              <w:bidi w:val="0"/>
              <w:rPr>
                <w:rFonts w:asciiTheme="majorHAnsi" w:hAnsiTheme="majorHAnsi"/>
                <w:color w:val="0070C0"/>
                <w:sz w:val="18"/>
                <w:szCs w:val="18"/>
              </w:rPr>
            </w:pPr>
            <w:r w:rsidRPr="00B33010">
              <w:rPr>
                <w:rFonts w:asciiTheme="majorHAnsi" w:hAnsiTheme="majorHAnsi"/>
                <w:color w:val="0070C0"/>
                <w:sz w:val="18"/>
                <w:szCs w:val="18"/>
              </w:rPr>
              <w:t>IEC 62133-1:2017</w:t>
            </w:r>
          </w:p>
          <w:p w14:paraId="6A0A18B7" w14:textId="77777777" w:rsidR="00B33010" w:rsidRPr="00B33010" w:rsidRDefault="00B33010" w:rsidP="00B33010">
            <w:pPr>
              <w:pStyle w:val="NoSpacing"/>
              <w:bidi w:val="0"/>
              <w:rPr>
                <w:rFonts w:asciiTheme="majorHAnsi" w:hAnsiTheme="majorHAnsi"/>
                <w:color w:val="0070C0"/>
                <w:sz w:val="18"/>
                <w:szCs w:val="18"/>
              </w:rPr>
            </w:pPr>
          </w:p>
        </w:tc>
      </w:tr>
      <w:tr w:rsidR="00B33010" w:rsidRPr="00907707" w14:paraId="0907F2EB" w14:textId="77777777" w:rsidTr="001A5E9F">
        <w:tc>
          <w:tcPr>
            <w:tcW w:w="970" w:type="pct"/>
            <w:vMerge/>
          </w:tcPr>
          <w:p w14:paraId="1252EF7D" w14:textId="77777777" w:rsidR="00B33010" w:rsidRPr="00907707" w:rsidRDefault="00B33010" w:rsidP="00B33010">
            <w:pPr>
              <w:pStyle w:val="NoSpacing"/>
              <w:bidi w:val="0"/>
              <w:rPr>
                <w:rFonts w:asciiTheme="majorHAnsi" w:hAnsiTheme="majorHAnsi"/>
                <w:color w:val="0070C0"/>
                <w:sz w:val="18"/>
                <w:szCs w:val="18"/>
              </w:rPr>
            </w:pPr>
          </w:p>
        </w:tc>
        <w:tc>
          <w:tcPr>
            <w:tcW w:w="1113" w:type="pct"/>
            <w:vMerge/>
          </w:tcPr>
          <w:p w14:paraId="12BA4410" w14:textId="77777777" w:rsidR="00B33010" w:rsidRPr="00907707" w:rsidRDefault="00B33010" w:rsidP="00B33010">
            <w:pPr>
              <w:pStyle w:val="NoSpacing"/>
              <w:bidi w:val="0"/>
              <w:rPr>
                <w:rFonts w:asciiTheme="majorHAnsi" w:hAnsiTheme="majorHAnsi"/>
                <w:color w:val="0070C0"/>
                <w:sz w:val="18"/>
                <w:szCs w:val="18"/>
              </w:rPr>
            </w:pPr>
          </w:p>
        </w:tc>
        <w:tc>
          <w:tcPr>
            <w:tcW w:w="1563" w:type="pct"/>
          </w:tcPr>
          <w:p w14:paraId="0ED1CF64" w14:textId="34FA215E" w:rsidR="00B33010" w:rsidRPr="00B33010" w:rsidRDefault="00B33010" w:rsidP="00B33010">
            <w:pPr>
              <w:pStyle w:val="NoSpacing"/>
              <w:bidi w:val="0"/>
              <w:rPr>
                <w:rFonts w:asciiTheme="majorHAnsi" w:hAnsiTheme="majorHAnsi"/>
                <w:color w:val="0070C0"/>
                <w:sz w:val="18"/>
                <w:szCs w:val="18"/>
              </w:rPr>
            </w:pPr>
            <w:r w:rsidRPr="00B33010">
              <w:rPr>
                <w:rFonts w:asciiTheme="majorHAnsi" w:hAnsiTheme="majorHAnsi"/>
                <w:color w:val="0070C0"/>
                <w:sz w:val="18"/>
                <w:szCs w:val="18"/>
              </w:rPr>
              <w:t>Amendment 1 - Secondary cells and batteries containing alkaline or other non-acid electrolytes - Safety requirements for portable sealed secondary cells, and for batteries made from them, for use in portable applications - Part 2: Lithium systems</w:t>
            </w:r>
          </w:p>
        </w:tc>
        <w:tc>
          <w:tcPr>
            <w:tcW w:w="1354" w:type="pct"/>
          </w:tcPr>
          <w:p w14:paraId="7ADEF381" w14:textId="77777777" w:rsidR="00B33010" w:rsidRPr="00B33010" w:rsidRDefault="00B33010" w:rsidP="00B33010">
            <w:pPr>
              <w:pStyle w:val="NoSpacing"/>
              <w:bidi w:val="0"/>
              <w:rPr>
                <w:rFonts w:asciiTheme="majorHAnsi" w:hAnsiTheme="majorHAnsi"/>
                <w:color w:val="0070C0"/>
                <w:sz w:val="18"/>
                <w:szCs w:val="18"/>
              </w:rPr>
            </w:pPr>
            <w:r w:rsidRPr="00B33010">
              <w:rPr>
                <w:rFonts w:asciiTheme="majorHAnsi" w:hAnsiTheme="majorHAnsi"/>
                <w:color w:val="0070C0"/>
                <w:sz w:val="18"/>
                <w:szCs w:val="18"/>
              </w:rPr>
              <w:t>GSO IEC 62133-2</w:t>
            </w:r>
          </w:p>
          <w:p w14:paraId="220DDDF0" w14:textId="56308C54" w:rsidR="00B33010" w:rsidRPr="00B33010" w:rsidRDefault="00B33010" w:rsidP="00B33010">
            <w:pPr>
              <w:pStyle w:val="NoSpacing"/>
              <w:bidi w:val="0"/>
              <w:rPr>
                <w:rFonts w:asciiTheme="majorHAnsi" w:hAnsiTheme="majorHAnsi"/>
                <w:color w:val="0070C0"/>
                <w:sz w:val="18"/>
                <w:szCs w:val="18"/>
              </w:rPr>
            </w:pPr>
            <w:r w:rsidRPr="00B33010">
              <w:rPr>
                <w:rFonts w:asciiTheme="majorHAnsi" w:hAnsiTheme="majorHAnsi"/>
                <w:color w:val="0070C0"/>
                <w:sz w:val="18"/>
                <w:szCs w:val="18"/>
              </w:rPr>
              <w:t>IEC 62133-2:2017/AMD1:2021</w:t>
            </w:r>
          </w:p>
        </w:tc>
      </w:tr>
    </w:tbl>
    <w:p w14:paraId="30848D14" w14:textId="77777777" w:rsidR="00907707" w:rsidRDefault="00907707" w:rsidP="00907707">
      <w:pPr>
        <w:tabs>
          <w:tab w:val="left" w:pos="2899"/>
        </w:tabs>
        <w:bidi w:val="0"/>
        <w:rPr>
          <w:sz w:val="16"/>
          <w:szCs w:val="16"/>
        </w:rPr>
      </w:pPr>
    </w:p>
    <w:p w14:paraId="799FB148" w14:textId="1885EB81" w:rsidR="004B421D" w:rsidRDefault="004B421D" w:rsidP="004B421D">
      <w:pPr>
        <w:tabs>
          <w:tab w:val="left" w:pos="2899"/>
        </w:tabs>
        <w:bidi w:val="0"/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50"/>
      </w:tblGrid>
      <w:tr w:rsidR="003D0E15" w:rsidRPr="003D0E15" w14:paraId="34EBC4B1" w14:textId="77777777" w:rsidTr="003B1CE3">
        <w:trPr>
          <w:trHeight w:val="428"/>
        </w:trPr>
        <w:tc>
          <w:tcPr>
            <w:tcW w:w="5000" w:type="pct"/>
            <w:shd w:val="clear" w:color="auto" w:fill="C00000"/>
            <w:vAlign w:val="center"/>
          </w:tcPr>
          <w:p w14:paraId="2EC0C900" w14:textId="77777777" w:rsidR="003D0E15" w:rsidRPr="00DC175E" w:rsidRDefault="003D0E15" w:rsidP="00124AA1">
            <w:pPr>
              <w:bidi w:val="0"/>
              <w:jc w:val="center"/>
              <w:rPr>
                <w:rFonts w:ascii="HelveticaNeueLT Arabic 55 Roman" w:hAnsi="HelveticaNeueLT Arabic 55 Roman" w:cs="HelveticaNeueLT Arabic 55 Roman"/>
                <w:sz w:val="20"/>
                <w:szCs w:val="20"/>
                <w:rtl/>
              </w:rPr>
            </w:pPr>
            <w:r w:rsidRPr="00DC175E">
              <w:rPr>
                <w:rFonts w:ascii="HelveticaNeueLT Arabic 55 Roman" w:hAnsi="HelveticaNeueLT Arabic 55 Roman" w:cs="HelveticaNeueLT Arabic 55 Roman"/>
                <w:sz w:val="20"/>
                <w:szCs w:val="20"/>
              </w:rPr>
              <w:t>END</w:t>
            </w:r>
          </w:p>
        </w:tc>
      </w:tr>
      <w:tr w:rsidR="003D0E15" w:rsidRPr="003D0E15" w14:paraId="25F5E2D8" w14:textId="77777777" w:rsidTr="003B1CE3">
        <w:trPr>
          <w:trHeight w:val="421"/>
        </w:trPr>
        <w:tc>
          <w:tcPr>
            <w:tcW w:w="5000" w:type="pct"/>
            <w:shd w:val="clear" w:color="auto" w:fill="auto"/>
            <w:vAlign w:val="center"/>
          </w:tcPr>
          <w:p w14:paraId="53E57CE9" w14:textId="1B324BD1" w:rsidR="003D0E15" w:rsidRPr="00DC175E" w:rsidRDefault="0054151D" w:rsidP="003D0E15">
            <w:pPr>
              <w:bidi w:val="0"/>
              <w:jc w:val="both"/>
              <w:rPr>
                <w:rFonts w:ascii="HelveticaNeueLT Arabic 55 Roman" w:eastAsia="Times New Roman" w:hAnsi="HelveticaNeueLT Arabic 55 Roman" w:cs="HelveticaNeueLT Arabic 55 Roman"/>
                <w:sz w:val="20"/>
                <w:szCs w:val="20"/>
              </w:rPr>
            </w:pPr>
            <w:r>
              <w:rPr>
                <w:rFonts w:ascii="HelveticaNeueLT Arabic 55 Roman" w:hAnsi="HelveticaNeueLT Arabic 55 Roman" w:cs="HelveticaNeueLT Arabic 55 Roman"/>
                <w:b/>
                <w:bCs/>
                <w:sz w:val="20"/>
                <w:szCs w:val="20"/>
                <w:lang w:eastAsia="zh-CN"/>
              </w:rPr>
              <w:t>0003</w:t>
            </w:r>
            <w:r w:rsidR="0071653E">
              <w:rPr>
                <w:rFonts w:ascii="HelveticaNeueLT Arabic 55 Roman" w:hAnsi="HelveticaNeueLT Arabic 55 Roman" w:cs="HelveticaNeueLT Arabic 55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D0E15" w:rsidRPr="00DC175E">
              <w:rPr>
                <w:rFonts w:ascii="HelveticaNeueLT Arabic 55 Roman" w:hAnsi="HelveticaNeueLT Arabic 55 Roman" w:cs="HelveticaNeueLT Arabic 55 Roman"/>
                <w:sz w:val="20"/>
                <w:szCs w:val="20"/>
              </w:rPr>
              <w:t>is</w:t>
            </w:r>
            <w:r w:rsidR="003D0E15" w:rsidRPr="00DC175E">
              <w:rPr>
                <w:rFonts w:ascii="HelveticaNeueLT Arabic 55 Roman" w:hAnsi="HelveticaNeueLT Arabic 55 Roman" w:cs="HelveticaNeueLT Arabic 55 Roman"/>
                <w:b/>
                <w:bCs/>
                <w:sz w:val="20"/>
                <w:szCs w:val="20"/>
              </w:rPr>
              <w:t xml:space="preserve"> </w:t>
            </w:r>
            <w:r w:rsidR="003D0E15" w:rsidRPr="00DC175E">
              <w:rPr>
                <w:rFonts w:ascii="HelveticaNeueLT Arabic 55 Roman" w:hAnsi="HelveticaNeueLT Arabic 55 Roman" w:cs="HelveticaNeueLT Arabic 55 Roman"/>
                <w:sz w:val="20"/>
                <w:szCs w:val="20"/>
              </w:rPr>
              <w:t>recorded as a DGSM Notified Body to organizations in the Sultanate of Oman</w:t>
            </w:r>
          </w:p>
        </w:tc>
      </w:tr>
    </w:tbl>
    <w:p w14:paraId="37616732" w14:textId="77777777" w:rsidR="003D0E15" w:rsidRDefault="003D0E15" w:rsidP="003D0E15">
      <w:pPr>
        <w:tabs>
          <w:tab w:val="left" w:pos="2899"/>
        </w:tabs>
        <w:bidi w:val="0"/>
      </w:pPr>
    </w:p>
    <w:p w14:paraId="1898C41C" w14:textId="77777777" w:rsidR="005D416C" w:rsidRPr="005D416C" w:rsidRDefault="005D416C" w:rsidP="005D416C">
      <w:pPr>
        <w:bidi w:val="0"/>
      </w:pPr>
    </w:p>
    <w:p w14:paraId="473A637C" w14:textId="77777777" w:rsidR="005D416C" w:rsidRPr="005D416C" w:rsidRDefault="005D416C" w:rsidP="005D416C">
      <w:pPr>
        <w:bidi w:val="0"/>
      </w:pPr>
    </w:p>
    <w:p w14:paraId="055DE152" w14:textId="77777777" w:rsidR="005D416C" w:rsidRPr="005D416C" w:rsidRDefault="005D416C" w:rsidP="005D416C">
      <w:pPr>
        <w:bidi w:val="0"/>
      </w:pPr>
    </w:p>
    <w:p w14:paraId="0E6EAA29" w14:textId="77777777" w:rsidR="005D416C" w:rsidRPr="005D416C" w:rsidRDefault="005D416C" w:rsidP="005D416C">
      <w:pPr>
        <w:bidi w:val="0"/>
      </w:pPr>
    </w:p>
    <w:sectPr w:rsidR="005D416C" w:rsidRPr="005D416C" w:rsidSect="007942CA">
      <w:headerReference w:type="default" r:id="rId12"/>
      <w:footerReference w:type="default" r:id="rId13"/>
      <w:pgSz w:w="15840" w:h="12240" w:orient="landscape"/>
      <w:pgMar w:top="1440" w:right="1440" w:bottom="1440" w:left="1440" w:header="426" w:footer="6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94970" w14:textId="77777777" w:rsidR="00095E72" w:rsidRDefault="00095E72" w:rsidP="00126E79">
      <w:pPr>
        <w:spacing w:after="0" w:line="240" w:lineRule="auto"/>
      </w:pPr>
      <w:r>
        <w:separator/>
      </w:r>
    </w:p>
  </w:endnote>
  <w:endnote w:type="continuationSeparator" w:id="0">
    <w:p w14:paraId="5B01B741" w14:textId="77777777" w:rsidR="00095E72" w:rsidRDefault="00095E72" w:rsidP="00126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hij TheSansArabic Plain">
    <w:charset w:val="00"/>
    <w:family w:val="roman"/>
    <w:pitch w:val="variable"/>
    <w:sig w:usb0="8000202F" w:usb1="8000A04A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Arabic 55 Roman">
    <w:altName w:val="Arial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elveticaNeueLT Arabic 55 Roman" w:hAnsi="HelveticaNeueLT Arabic 55 Roman" w:cs="HelveticaNeueLT Arabic 55 Roman"/>
        <w:sz w:val="18"/>
        <w:szCs w:val="18"/>
      </w:rPr>
      <w:id w:val="-172502324"/>
      <w:docPartObj>
        <w:docPartGallery w:val="Page Numbers (Bottom of Page)"/>
        <w:docPartUnique/>
      </w:docPartObj>
    </w:sdtPr>
    <w:sdtEndPr/>
    <w:sdtContent>
      <w:sdt>
        <w:sdtPr>
          <w:rPr>
            <w:rFonts w:ascii="HelveticaNeueLT Arabic 55 Roman" w:hAnsi="HelveticaNeueLT Arabic 55 Roman" w:cs="HelveticaNeueLT Arabic 55 Roman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3585" w:type="dxa"/>
              <w:tblInd w:w="-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510"/>
              <w:gridCol w:w="1075"/>
            </w:tblGrid>
            <w:tr w:rsidR="00DC175E" w:rsidRPr="00DC175E" w14:paraId="0D180781" w14:textId="64F9D11D" w:rsidTr="002C0997">
              <w:trPr>
                <w:trHeight w:val="448"/>
              </w:trPr>
              <w:tc>
                <w:tcPr>
                  <w:tcW w:w="12510" w:type="dxa"/>
                </w:tcPr>
                <w:p w14:paraId="3BD688A8" w14:textId="287B8C9C" w:rsidR="00DC175E" w:rsidRPr="00942ACE" w:rsidRDefault="00DC175E" w:rsidP="00A54E36">
                  <w:pPr>
                    <w:bidi w:val="0"/>
                    <w:rPr>
                      <w:rFonts w:ascii="HelveticaNeueLT Arabic 55 Roman" w:hAnsi="HelveticaNeueLT Arabic 55 Roman" w:cs="HelveticaNeueLT Arabic 55 Roman"/>
                      <w:sz w:val="18"/>
                      <w:szCs w:val="18"/>
                    </w:rPr>
                  </w:pPr>
                  <w:r w:rsidRPr="00DC175E">
                    <w:rPr>
                      <w:rFonts w:ascii="HelveticaNeueLT Arabic 55 Roman" w:hAnsi="HelveticaNeueLT Arabic 55 Roman" w:cs="HelveticaNeueLT Arabic 55 Roman"/>
                      <w:bCs/>
                      <w:sz w:val="18"/>
                      <w:szCs w:val="18"/>
                    </w:rPr>
                    <w:t xml:space="preserve">Issue No: </w:t>
                  </w:r>
                  <w:r w:rsidR="00257256">
                    <w:rPr>
                      <w:rFonts w:ascii="HelveticaNeueLT Arabic 55 Roman" w:hAnsi="HelveticaNeueLT Arabic 55 Roman" w:cs="HelveticaNeueLT Arabic 55 Roman"/>
                      <w:bCs/>
                      <w:sz w:val="18"/>
                      <w:szCs w:val="18"/>
                    </w:rPr>
                    <w:t>1</w:t>
                  </w:r>
                  <w:r w:rsidRPr="00DC175E">
                    <w:rPr>
                      <w:rFonts w:ascii="HelveticaNeueLT Arabic 55 Roman" w:hAnsi="HelveticaNeueLT Arabic 55 Roman" w:cs="HelveticaNeueLT Arabic 55 Roman"/>
                      <w:bCs/>
                      <w:sz w:val="18"/>
                      <w:szCs w:val="18"/>
                    </w:rPr>
                    <w:t>/ Issue Date</w:t>
                  </w:r>
                  <w:r w:rsidRPr="00DC175E">
                    <w:rPr>
                      <w:rFonts w:ascii="HelveticaNeueLT Arabic 55 Roman" w:hAnsi="HelveticaNeueLT Arabic 55 Roman" w:cs="HelveticaNeueLT Arabic 55 Roman"/>
                      <w:b/>
                      <w:sz w:val="18"/>
                      <w:szCs w:val="18"/>
                    </w:rPr>
                    <w:t xml:space="preserve">: </w:t>
                  </w:r>
                  <w:r w:rsidR="005D416C">
                    <w:rPr>
                      <w:rFonts w:ascii="HelveticaNeueLT Arabic 55 Roman" w:hAnsi="HelveticaNeueLT Arabic 55 Roman" w:cs="HelveticaNeueLT Arabic 55 Roman"/>
                      <w:b/>
                      <w:sz w:val="18"/>
                      <w:szCs w:val="18"/>
                    </w:rPr>
                    <w:t>23</w:t>
                  </w:r>
                  <w:r w:rsidR="00420C62">
                    <w:rPr>
                      <w:rFonts w:ascii="HelveticaNeueLT Arabic 55 Roman" w:hAnsi="HelveticaNeueLT Arabic 55 Roman" w:cs="HelveticaNeueLT Arabic 55 Roman"/>
                      <w:b/>
                      <w:sz w:val="18"/>
                      <w:szCs w:val="18"/>
                    </w:rPr>
                    <w:t>/12/2025</w:t>
                  </w:r>
                  <w:r w:rsidRPr="006539A6">
                    <w:rPr>
                      <w:rFonts w:ascii="HelveticaNeueLT Arabic 55 Roman" w:hAnsi="HelveticaNeueLT Arabic 55 Roman" w:cs="HelveticaNeueLT Arabic 55 Roman"/>
                      <w:b/>
                      <w:bCs/>
                      <w:color w:val="FF0000"/>
                      <w:sz w:val="18"/>
                      <w:szCs w:val="18"/>
                    </w:rPr>
                    <w:t xml:space="preserve">                                                                            </w:t>
                  </w:r>
                  <w:r w:rsidR="00942ACE">
                    <w:rPr>
                      <w:rFonts w:ascii="HelveticaNeueLT Arabic 55 Roman" w:hAnsi="HelveticaNeueLT Arabic 55 Roman" w:cs="HelveticaNeueLT Arabic 55 Roman"/>
                      <w:b/>
                      <w:bCs/>
                      <w:color w:val="FF0000"/>
                      <w:sz w:val="18"/>
                      <w:szCs w:val="18"/>
                    </w:rPr>
                    <w:t xml:space="preserve">                                   </w:t>
                  </w:r>
                  <w:r w:rsidRPr="006539A6">
                    <w:rPr>
                      <w:rFonts w:ascii="HelveticaNeueLT Arabic 55 Roman" w:hAnsi="HelveticaNeueLT Arabic 55 Roman" w:cs="HelveticaNeueLT Arabic 55 Roman"/>
                      <w:b/>
                      <w:bCs/>
                      <w:color w:val="FF0000"/>
                      <w:sz w:val="18"/>
                      <w:szCs w:val="18"/>
                    </w:rPr>
                    <w:t xml:space="preserve">    </w:t>
                  </w:r>
                  <w:r w:rsidR="003D266E">
                    <w:rPr>
                      <w:rFonts w:ascii="HelveticaNeueLT Arabic 55 Roman" w:hAnsi="HelveticaNeueLT Arabic 55 Roman" w:cs="HelveticaNeueLT Arabic 55 Roman"/>
                      <w:b/>
                      <w:bCs/>
                      <w:color w:val="FF0000"/>
                      <w:sz w:val="18"/>
                      <w:szCs w:val="18"/>
                    </w:rPr>
                    <w:t xml:space="preserve">   </w:t>
                  </w:r>
                  <w:r w:rsidRPr="006539A6">
                    <w:rPr>
                      <w:rFonts w:ascii="HelveticaNeueLT Arabic 55 Roman" w:hAnsi="HelveticaNeueLT Arabic 55 Roman" w:cs="HelveticaNeueLT Arabic 55 Roman"/>
                      <w:b/>
                      <w:bCs/>
                      <w:color w:val="FF0000"/>
                      <w:sz w:val="18"/>
                      <w:szCs w:val="18"/>
                    </w:rPr>
                    <w:t xml:space="preserve">  </w:t>
                  </w:r>
                  <w:r w:rsidRPr="00DC175E">
                    <w:rPr>
                      <w:rFonts w:ascii="HelveticaNeueLT Arabic 55 Roman" w:hAnsi="HelveticaNeueLT Arabic 55 Roman" w:cs="HelveticaNeueLT Arabic 55 Roman"/>
                      <w:sz w:val="18"/>
                      <w:szCs w:val="18"/>
                    </w:rPr>
                    <w:t>This designation is valid until</w:t>
                  </w:r>
                  <w:r w:rsidR="0072715A">
                    <w:rPr>
                      <w:rFonts w:ascii="HelveticaNeueLT Arabic 55 Roman" w:hAnsi="HelveticaNeueLT Arabic 55 Roman" w:cs="HelveticaNeueLT Arabic 55 Roman"/>
                      <w:sz w:val="18"/>
                      <w:szCs w:val="18"/>
                    </w:rPr>
                    <w:t xml:space="preserve">: </w:t>
                  </w:r>
                  <w:r w:rsidR="005D416C">
                    <w:rPr>
                      <w:rFonts w:ascii="HelveticaNeueLT Arabic 55 Roman" w:hAnsi="HelveticaNeueLT Arabic 55 Roman" w:cs="HelveticaNeueLT Arabic 55 Roman"/>
                      <w:b/>
                      <w:bCs/>
                      <w:sz w:val="18"/>
                      <w:szCs w:val="18"/>
                    </w:rPr>
                    <w:t>23</w:t>
                  </w:r>
                  <w:r w:rsidR="00420C62" w:rsidRPr="0072715A">
                    <w:rPr>
                      <w:rFonts w:ascii="HelveticaNeueLT Arabic 55 Roman" w:hAnsi="HelveticaNeueLT Arabic 55 Roman" w:cs="HelveticaNeueLT Arabic 55 Roman"/>
                      <w:b/>
                      <w:bCs/>
                      <w:sz w:val="18"/>
                      <w:szCs w:val="18"/>
                    </w:rPr>
                    <w:t>/12/2029</w:t>
                  </w:r>
                </w:p>
                <w:p w14:paraId="7F557936" w14:textId="0D29B2BC" w:rsidR="00DC175E" w:rsidRPr="00A54E36" w:rsidRDefault="00DC175E" w:rsidP="00A54E36">
                  <w:pPr>
                    <w:bidi w:val="0"/>
                    <w:jc w:val="both"/>
                  </w:pPr>
                  <w:r w:rsidRPr="00DC175E">
                    <w:rPr>
                      <w:rFonts w:ascii="HelveticaNeueLT Arabic 55 Roman" w:hAnsi="HelveticaNeueLT Arabic 55 Roman" w:cs="HelveticaNeueLT Arabic 55 Roman"/>
                      <w:b/>
                      <w:bCs/>
                      <w:sz w:val="18"/>
                      <w:szCs w:val="18"/>
                      <w:u w:val="single"/>
                    </w:rPr>
                    <w:t>Note</w:t>
                  </w:r>
                  <w:r w:rsidRPr="00DC175E">
                    <w:rPr>
                      <w:rFonts w:ascii="HelveticaNeueLT Arabic 55 Roman" w:hAnsi="HelveticaNeueLT Arabic 55 Roman" w:cs="HelveticaNeueLT Arabic 55 Roman"/>
                      <w:sz w:val="18"/>
                      <w:szCs w:val="18"/>
                    </w:rPr>
                    <w:t xml:space="preserve"> The scope in this document may be revised and reissued by DGSM from time to time, The most recent issue of the scope of notification , which bears the same Notified Body number as this certificate, is available from the website</w:t>
                  </w:r>
                  <w:r w:rsidR="00942ACE">
                    <w:rPr>
                      <w:rFonts w:ascii="HelveticaNeueLT Arabic 55 Roman" w:hAnsi="HelveticaNeueLT Arabic 55 Roman" w:cs="HelveticaNeueLT Arabic 55 Roman"/>
                      <w:sz w:val="18"/>
                      <w:szCs w:val="18"/>
                    </w:rPr>
                    <w:t xml:space="preserve"> </w:t>
                  </w:r>
                  <w:r w:rsidR="00942ACE">
                    <w:t>(</w:t>
                  </w:r>
                  <w:hyperlink r:id="rId1" w:history="1">
                    <w:r w:rsidR="00A54E36" w:rsidRPr="006D63F1">
                      <w:rPr>
                        <w:rStyle w:val="Hyperlink"/>
                      </w:rPr>
                      <w:t>https://hazm.gov.om/nb/</w:t>
                    </w:r>
                  </w:hyperlink>
                  <w:r w:rsidR="00A54E36">
                    <w:t xml:space="preserve"> </w:t>
                  </w:r>
                  <w:r w:rsidR="00942ACE">
                    <w:t>).</w:t>
                  </w:r>
                </w:p>
              </w:tc>
              <w:tc>
                <w:tcPr>
                  <w:tcW w:w="1075" w:type="dxa"/>
                </w:tcPr>
                <w:p w14:paraId="5ED82644" w14:textId="32C50BC4" w:rsidR="00DC175E" w:rsidRPr="00DC175E" w:rsidRDefault="00DC175E" w:rsidP="007C7291">
                  <w:pPr>
                    <w:bidi w:val="0"/>
                    <w:rPr>
                      <w:rFonts w:ascii="HelveticaNeueLT Arabic 55 Roman" w:hAnsi="HelveticaNeueLT Arabic 55 Roman" w:cs="HelveticaNeueLT Arabic 55 Roman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2D4A9EE8" w14:textId="4C611BCB" w:rsidR="00DC175E" w:rsidRPr="002C0997" w:rsidRDefault="00E178FB" w:rsidP="008B33A0">
            <w:pPr>
              <w:pStyle w:val="Footer"/>
              <w:bidi w:val="0"/>
              <w:rPr>
                <w:rFonts w:ascii="HelveticaNeueLT Arabic 55 Roman" w:hAnsi="HelveticaNeueLT Arabic 55 Roman" w:cs="HelveticaNeueLT Arabic 55 Roman"/>
                <w:sz w:val="10"/>
                <w:szCs w:val="10"/>
              </w:rPr>
            </w:pPr>
            <w:r w:rsidRPr="00DC175E">
              <w:rPr>
                <w:rFonts w:ascii="HelveticaNeueLT Arabic 55 Roman" w:hAnsi="HelveticaNeueLT Arabic 55 Roman" w:cs="HelveticaNeueLT Arabic 55 Roman"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26764A28" wp14:editId="608EF34D">
                  <wp:simplePos x="0" y="0"/>
                  <wp:positionH relativeFrom="column">
                    <wp:posOffset>8056880</wp:posOffset>
                  </wp:positionH>
                  <wp:positionV relativeFrom="paragraph">
                    <wp:posOffset>-588645</wp:posOffset>
                  </wp:positionV>
                  <wp:extent cx="937895" cy="952500"/>
                  <wp:effectExtent l="0" t="0" r="0" b="0"/>
                  <wp:wrapNone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029714" name=""/>
                          <pic:cNvPicPr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89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F930B6" w14:textId="4803CE38" w:rsidR="00891FD1" w:rsidRPr="00DC175E" w:rsidRDefault="0083566E" w:rsidP="007942CA">
            <w:pPr>
              <w:pStyle w:val="Footer"/>
              <w:bidi w:val="0"/>
              <w:rPr>
                <w:rFonts w:ascii="HelveticaNeueLT Arabic 55 Roman" w:hAnsi="HelveticaNeueLT Arabic 55 Roman" w:cs="HelveticaNeueLT Arabic 55 Roman"/>
                <w:sz w:val="18"/>
                <w:szCs w:val="18"/>
              </w:rPr>
            </w:pPr>
            <w:r w:rsidRPr="00DC175E">
              <w:rPr>
                <w:rFonts w:ascii="HelveticaNeueLT Arabic 55 Roman" w:hAnsi="HelveticaNeueLT Arabic 55 Roman" w:cs="HelveticaNeueLT Arabic 55 Roman"/>
                <w:sz w:val="18"/>
                <w:szCs w:val="18"/>
              </w:rPr>
              <w:t xml:space="preserve">  Ver</w:t>
            </w:r>
            <w:r w:rsidR="00FA777E">
              <w:rPr>
                <w:rFonts w:ascii="HelveticaNeueLT Arabic 55 Roman" w:hAnsi="HelveticaNeueLT Arabic 55 Roman" w:cs="HelveticaNeueLT Arabic 55 Roman"/>
                <w:sz w:val="18"/>
                <w:szCs w:val="18"/>
              </w:rPr>
              <w:t>:</w:t>
            </w:r>
            <w:r w:rsidR="00FA777E" w:rsidRPr="00DC175E">
              <w:rPr>
                <w:rFonts w:ascii="HelveticaNeueLT Arabic 55 Roman" w:hAnsi="HelveticaNeueLT Arabic 55 Roman" w:cs="HelveticaNeueLT Arabic 55 Roman"/>
                <w:sz w:val="18"/>
                <w:szCs w:val="18"/>
              </w:rPr>
              <w:t xml:space="preserve"> </w:t>
            </w:r>
            <w:r w:rsidR="007942CA">
              <w:rPr>
                <w:rFonts w:ascii="HelveticaNeueLT Arabic 55 Roman" w:hAnsi="HelveticaNeueLT Arabic 55 Roman" w:cs="HelveticaNeueLT Arabic 55 Roman"/>
                <w:sz w:val="18"/>
                <w:szCs w:val="18"/>
              </w:rPr>
              <w:t>4</w:t>
            </w:r>
            <w:r w:rsidRPr="00DC175E">
              <w:rPr>
                <w:rFonts w:ascii="HelveticaNeueLT Arabic 55 Roman" w:hAnsi="HelveticaNeueLT Arabic 55 Roman" w:cs="HelveticaNeueLT Arabic 55 Roman"/>
                <w:sz w:val="18"/>
                <w:szCs w:val="18"/>
              </w:rPr>
              <w:t xml:space="preserve">   Date: </w:t>
            </w:r>
            <w:r w:rsidR="007942CA">
              <w:rPr>
                <w:rFonts w:ascii="HelveticaNeueLT Arabic 55 Roman" w:hAnsi="HelveticaNeueLT Arabic 55 Roman" w:cs="HelveticaNeueLT Arabic 55 Roman"/>
                <w:sz w:val="18"/>
                <w:szCs w:val="18"/>
              </w:rPr>
              <w:t>9</w:t>
            </w:r>
            <w:r w:rsidR="008979BE" w:rsidRPr="00DC175E">
              <w:rPr>
                <w:rFonts w:ascii="HelveticaNeueLT Arabic 55 Roman" w:hAnsi="HelveticaNeueLT Arabic 55 Roman" w:cs="HelveticaNeueLT Arabic 55 Roman"/>
                <w:sz w:val="18"/>
                <w:szCs w:val="18"/>
              </w:rPr>
              <w:t xml:space="preserve"> </w:t>
            </w:r>
            <w:r w:rsidR="007942CA">
              <w:rPr>
                <w:rFonts w:ascii="HelveticaNeueLT Arabic 55 Roman" w:hAnsi="HelveticaNeueLT Arabic 55 Roman" w:cs="HelveticaNeueLT Arabic 55 Roman"/>
                <w:sz w:val="18"/>
                <w:szCs w:val="18"/>
              </w:rPr>
              <w:t>Oct</w:t>
            </w:r>
            <w:r w:rsidR="0011530D" w:rsidRPr="00DC175E">
              <w:rPr>
                <w:rFonts w:ascii="HelveticaNeueLT Arabic 55 Roman" w:hAnsi="HelveticaNeueLT Arabic 55 Roman" w:cs="HelveticaNeueLT Arabic 55 Roman"/>
                <w:sz w:val="18"/>
                <w:szCs w:val="18"/>
              </w:rPr>
              <w:t xml:space="preserve"> 202</w:t>
            </w:r>
            <w:r w:rsidR="00FA777E">
              <w:rPr>
                <w:rFonts w:ascii="HelveticaNeueLT Arabic 55 Roman" w:hAnsi="HelveticaNeueLT Arabic 55 Roman" w:cs="HelveticaNeueLT Arabic 55 Roman"/>
                <w:sz w:val="18"/>
                <w:szCs w:val="18"/>
              </w:rPr>
              <w:t>5</w:t>
            </w:r>
            <w:r w:rsidRPr="00DC175E">
              <w:rPr>
                <w:rFonts w:ascii="HelveticaNeueLT Arabic 55 Roman" w:hAnsi="HelveticaNeueLT Arabic 55 Roman" w:cs="HelveticaNeueLT Arabic 55 Roman"/>
                <w:sz w:val="18"/>
                <w:szCs w:val="18"/>
              </w:rPr>
              <w:t xml:space="preserve">   Approved by: </w:t>
            </w:r>
            <w:r w:rsidR="008B33A0" w:rsidRPr="00DC175E">
              <w:rPr>
                <w:rFonts w:ascii="HelveticaNeueLT Arabic 55 Roman" w:hAnsi="HelveticaNeueLT Arabic 55 Roman" w:cs="HelveticaNeueLT Arabic 55 Roman"/>
                <w:sz w:val="18"/>
                <w:szCs w:val="18"/>
                <w:u w:val="single"/>
              </w:rPr>
              <w:t>Laila Al Mashari</w:t>
            </w:r>
            <w:r w:rsidRPr="00DC175E">
              <w:rPr>
                <w:rFonts w:ascii="HelveticaNeueLT Arabic 55 Roman" w:hAnsi="HelveticaNeueLT Arabic 55 Roman" w:cs="HelveticaNeueLT Arabic 55 Roman"/>
                <w:sz w:val="18"/>
                <w:szCs w:val="18"/>
              </w:rPr>
              <w:tab/>
            </w:r>
            <w:r w:rsidRPr="00DC175E">
              <w:rPr>
                <w:rFonts w:ascii="HelveticaNeueLT Arabic 55 Roman" w:hAnsi="HelveticaNeueLT Arabic 55 Roman" w:cs="HelveticaNeueLT Arabic 55 Roman"/>
                <w:sz w:val="18"/>
                <w:szCs w:val="18"/>
              </w:rPr>
              <w:tab/>
            </w:r>
            <w:r w:rsidRPr="00DC175E">
              <w:rPr>
                <w:rFonts w:ascii="HelveticaNeueLT Arabic 55 Roman" w:hAnsi="HelveticaNeueLT Arabic 55 Roman" w:cs="HelveticaNeueLT Arabic 55 Roman"/>
                <w:sz w:val="18"/>
                <w:szCs w:val="18"/>
              </w:rPr>
              <w:tab/>
            </w:r>
            <w:r w:rsidRPr="00DC175E">
              <w:rPr>
                <w:rFonts w:ascii="HelveticaNeueLT Arabic 55 Roman" w:hAnsi="HelveticaNeueLT Arabic 55 Roman" w:cs="HelveticaNeueLT Arabic 55 Roman"/>
                <w:sz w:val="18"/>
                <w:szCs w:val="18"/>
              </w:rPr>
              <w:tab/>
            </w:r>
            <w:r w:rsidR="00891FD1" w:rsidRPr="00DC175E">
              <w:rPr>
                <w:rFonts w:ascii="HelveticaNeueLT Arabic 55 Roman" w:hAnsi="HelveticaNeueLT Arabic 55 Roman" w:cs="HelveticaNeueLT Arabic 55 Roman"/>
                <w:sz w:val="18"/>
                <w:szCs w:val="18"/>
              </w:rPr>
              <w:t xml:space="preserve">Page </w:t>
            </w:r>
            <w:r w:rsidR="00891FD1" w:rsidRPr="00DC175E">
              <w:rPr>
                <w:rFonts w:ascii="HelveticaNeueLT Arabic 55 Roman" w:hAnsi="HelveticaNeueLT Arabic 55 Roman" w:cs="HelveticaNeueLT Arabic 55 Roman"/>
                <w:b/>
                <w:bCs/>
                <w:sz w:val="18"/>
                <w:szCs w:val="18"/>
              </w:rPr>
              <w:fldChar w:fldCharType="begin"/>
            </w:r>
            <w:r w:rsidR="00891FD1" w:rsidRPr="00DC175E">
              <w:rPr>
                <w:rFonts w:ascii="HelveticaNeueLT Arabic 55 Roman" w:hAnsi="HelveticaNeueLT Arabic 55 Roman" w:cs="HelveticaNeueLT Arabic 55 Roman"/>
                <w:b/>
                <w:bCs/>
                <w:sz w:val="18"/>
                <w:szCs w:val="18"/>
              </w:rPr>
              <w:instrText xml:space="preserve"> PAGE </w:instrText>
            </w:r>
            <w:r w:rsidR="00891FD1" w:rsidRPr="00DC175E">
              <w:rPr>
                <w:rFonts w:ascii="HelveticaNeueLT Arabic 55 Roman" w:hAnsi="HelveticaNeueLT Arabic 55 Roman" w:cs="HelveticaNeueLT Arabic 55 Roman"/>
                <w:b/>
                <w:bCs/>
                <w:sz w:val="18"/>
                <w:szCs w:val="18"/>
              </w:rPr>
              <w:fldChar w:fldCharType="separate"/>
            </w:r>
            <w:r w:rsidR="003B1CE3">
              <w:rPr>
                <w:rFonts w:ascii="HelveticaNeueLT Arabic 55 Roman" w:hAnsi="HelveticaNeueLT Arabic 55 Roman" w:cs="HelveticaNeueLT Arabic 55 Roman"/>
                <w:b/>
                <w:bCs/>
                <w:noProof/>
                <w:sz w:val="18"/>
                <w:szCs w:val="18"/>
              </w:rPr>
              <w:t>2</w:t>
            </w:r>
            <w:r w:rsidR="00891FD1" w:rsidRPr="00DC175E">
              <w:rPr>
                <w:rFonts w:ascii="HelveticaNeueLT Arabic 55 Roman" w:hAnsi="HelveticaNeueLT Arabic 55 Roman" w:cs="HelveticaNeueLT Arabic 55 Roman"/>
                <w:b/>
                <w:bCs/>
                <w:sz w:val="18"/>
                <w:szCs w:val="18"/>
              </w:rPr>
              <w:fldChar w:fldCharType="end"/>
            </w:r>
            <w:r w:rsidR="00891FD1" w:rsidRPr="00DC175E">
              <w:rPr>
                <w:rFonts w:ascii="HelveticaNeueLT Arabic 55 Roman" w:hAnsi="HelveticaNeueLT Arabic 55 Roman" w:cs="HelveticaNeueLT Arabic 55 Roman"/>
                <w:sz w:val="18"/>
                <w:szCs w:val="18"/>
              </w:rPr>
              <w:t xml:space="preserve"> of </w:t>
            </w:r>
            <w:r w:rsidR="00891FD1" w:rsidRPr="00DC175E">
              <w:rPr>
                <w:rFonts w:ascii="HelveticaNeueLT Arabic 55 Roman" w:hAnsi="HelveticaNeueLT Arabic 55 Roman" w:cs="HelveticaNeueLT Arabic 55 Roman"/>
                <w:b/>
                <w:bCs/>
                <w:sz w:val="18"/>
                <w:szCs w:val="18"/>
              </w:rPr>
              <w:fldChar w:fldCharType="begin"/>
            </w:r>
            <w:r w:rsidR="00891FD1" w:rsidRPr="00DC175E">
              <w:rPr>
                <w:rFonts w:ascii="HelveticaNeueLT Arabic 55 Roman" w:hAnsi="HelveticaNeueLT Arabic 55 Roman" w:cs="HelveticaNeueLT Arabic 55 Roman"/>
                <w:b/>
                <w:bCs/>
                <w:sz w:val="18"/>
                <w:szCs w:val="18"/>
              </w:rPr>
              <w:instrText xml:space="preserve"> NUMPAGES  </w:instrText>
            </w:r>
            <w:r w:rsidR="00891FD1" w:rsidRPr="00DC175E">
              <w:rPr>
                <w:rFonts w:ascii="HelveticaNeueLT Arabic 55 Roman" w:hAnsi="HelveticaNeueLT Arabic 55 Roman" w:cs="HelveticaNeueLT Arabic 55 Roman"/>
                <w:b/>
                <w:bCs/>
                <w:sz w:val="18"/>
                <w:szCs w:val="18"/>
              </w:rPr>
              <w:fldChar w:fldCharType="separate"/>
            </w:r>
            <w:r w:rsidR="003B1CE3">
              <w:rPr>
                <w:rFonts w:ascii="HelveticaNeueLT Arabic 55 Roman" w:hAnsi="HelveticaNeueLT Arabic 55 Roman" w:cs="HelveticaNeueLT Arabic 55 Roman"/>
                <w:b/>
                <w:bCs/>
                <w:noProof/>
                <w:sz w:val="18"/>
                <w:szCs w:val="18"/>
              </w:rPr>
              <w:t>2</w:t>
            </w:r>
            <w:r w:rsidR="00891FD1" w:rsidRPr="00DC175E">
              <w:rPr>
                <w:rFonts w:ascii="HelveticaNeueLT Arabic 55 Roman" w:hAnsi="HelveticaNeueLT Arabic 55 Roman" w:cs="HelveticaNeueLT Arabic 55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D9E51" w14:textId="77777777" w:rsidR="00095E72" w:rsidRDefault="00095E72" w:rsidP="00126E79">
      <w:pPr>
        <w:spacing w:after="0" w:line="240" w:lineRule="auto"/>
      </w:pPr>
      <w:r>
        <w:separator/>
      </w:r>
    </w:p>
  </w:footnote>
  <w:footnote w:type="continuationSeparator" w:id="0">
    <w:p w14:paraId="4C543994" w14:textId="77777777" w:rsidR="00095E72" w:rsidRDefault="00095E72" w:rsidP="00126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5000" w:type="pct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36"/>
      <w:gridCol w:w="3220"/>
      <w:gridCol w:w="3344"/>
    </w:tblGrid>
    <w:tr w:rsidR="006D6B66" w14:paraId="1D27D270" w14:textId="77777777" w:rsidTr="003B1CE3">
      <w:trPr>
        <w:trHeight w:val="754"/>
        <w:jc w:val="center"/>
      </w:trPr>
      <w:tc>
        <w:tcPr>
          <w:tcW w:w="2272" w:type="pct"/>
          <w:vMerge w:val="restart"/>
          <w:tcBorders>
            <w:top w:val="single" w:sz="24" w:space="0" w:color="C00000"/>
            <w:left w:val="single" w:sz="24" w:space="0" w:color="C00000"/>
            <w:right w:val="single" w:sz="24" w:space="0" w:color="C00000"/>
          </w:tcBorders>
          <w:vAlign w:val="center"/>
        </w:tcPr>
        <w:p w14:paraId="3BAD6647" w14:textId="4448C5AE" w:rsidR="006D6B66" w:rsidRPr="00A91DEB" w:rsidRDefault="007942CA" w:rsidP="007942CA">
          <w:pPr>
            <w:bidi w:val="0"/>
            <w:rPr>
              <w:rFonts w:cs="Times New Roman"/>
              <w:b/>
              <w:bCs/>
              <w:color w:val="FF0000"/>
              <w:sz w:val="44"/>
              <w:szCs w:val="44"/>
            </w:rPr>
          </w:pPr>
          <w:r>
            <w:rPr>
              <w:rFonts w:cs="Times New Roman"/>
              <w:b/>
              <w:bCs/>
              <w:noProof/>
              <w:color w:val="FF0000"/>
              <w:sz w:val="44"/>
              <w:szCs w:val="44"/>
            </w:rPr>
            <w:drawing>
              <wp:inline distT="0" distB="0" distL="0" distR="0" wp14:anchorId="7EF5F851" wp14:editId="3D444645">
                <wp:extent cx="3877310" cy="1554480"/>
                <wp:effectExtent l="0" t="0" r="8890" b="762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7310" cy="1554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0" w:type="pct"/>
          <w:tcBorders>
            <w:top w:val="single" w:sz="24" w:space="0" w:color="C00000"/>
            <w:left w:val="single" w:sz="24" w:space="0" w:color="C00000"/>
            <w:bottom w:val="single" w:sz="24" w:space="0" w:color="C00000"/>
            <w:right w:val="single" w:sz="24" w:space="0" w:color="C00000"/>
          </w:tcBorders>
          <w:vAlign w:val="center"/>
        </w:tcPr>
        <w:p w14:paraId="06397A41" w14:textId="271089BD" w:rsidR="006D6B66" w:rsidRPr="00DC175E" w:rsidRDefault="006D6B66" w:rsidP="00A54E36">
          <w:pPr>
            <w:bidi w:val="0"/>
            <w:spacing w:before="240"/>
            <w:jc w:val="center"/>
            <w:rPr>
              <w:rFonts w:ascii="HelveticaNeueLT Arabic 55 Roman" w:hAnsi="HelveticaNeueLT Arabic 55 Roman" w:cs="HelveticaNeueLT Arabic 55 Roman"/>
              <w:b/>
              <w:bCs/>
              <w:sz w:val="32"/>
              <w:szCs w:val="32"/>
              <w:u w:val="single"/>
            </w:rPr>
          </w:pPr>
          <w:r w:rsidRPr="00DC175E">
            <w:rPr>
              <w:rFonts w:ascii="HelveticaNeueLT Arabic 55 Roman" w:hAnsi="HelveticaNeueLT Arabic 55 Roman" w:cs="HelveticaNeueLT Arabic 55 Roman"/>
              <w:b/>
              <w:bCs/>
              <w:color w:val="FF0000"/>
              <w:sz w:val="32"/>
              <w:szCs w:val="32"/>
            </w:rPr>
            <w:t xml:space="preserve">NB - DGSM – </w:t>
          </w:r>
          <w:r w:rsidR="0071653E">
            <w:rPr>
              <w:rFonts w:ascii="HelveticaNeueLT Arabic 55 Roman" w:hAnsi="HelveticaNeueLT Arabic 55 Roman" w:cs="HelveticaNeueLT Arabic 55 Roman"/>
              <w:b/>
              <w:bCs/>
              <w:color w:val="FF0000"/>
              <w:sz w:val="32"/>
              <w:szCs w:val="32"/>
            </w:rPr>
            <w:t>00</w:t>
          </w:r>
          <w:r w:rsidR="00907707">
            <w:rPr>
              <w:rFonts w:ascii="HelveticaNeueLT Arabic 55 Roman" w:hAnsi="HelveticaNeueLT Arabic 55 Roman" w:cs="HelveticaNeueLT Arabic 55 Roman"/>
              <w:b/>
              <w:bCs/>
              <w:color w:val="FF0000"/>
              <w:sz w:val="32"/>
              <w:szCs w:val="32"/>
            </w:rPr>
            <w:t>03</w:t>
          </w:r>
        </w:p>
      </w:tc>
      <w:tc>
        <w:tcPr>
          <w:tcW w:w="1388" w:type="pct"/>
          <w:tcBorders>
            <w:top w:val="single" w:sz="24" w:space="0" w:color="C00000"/>
            <w:left w:val="single" w:sz="24" w:space="0" w:color="C00000"/>
            <w:bottom w:val="single" w:sz="24" w:space="0" w:color="C00000"/>
            <w:right w:val="single" w:sz="24" w:space="0" w:color="C00000"/>
          </w:tcBorders>
          <w:vAlign w:val="center"/>
        </w:tcPr>
        <w:p w14:paraId="6613B586" w14:textId="77777777" w:rsidR="006D6B66" w:rsidRPr="00DC175E" w:rsidRDefault="006D6B66" w:rsidP="006D6B66">
          <w:pPr>
            <w:bidi w:val="0"/>
            <w:spacing w:before="240"/>
            <w:jc w:val="center"/>
            <w:rPr>
              <w:rFonts w:ascii="HelveticaNeueLT Arabic 55 Roman" w:hAnsi="HelveticaNeueLT Arabic 55 Roman" w:cs="HelveticaNeueLT Arabic 55 Roman"/>
              <w:b/>
              <w:bCs/>
              <w:sz w:val="32"/>
              <w:szCs w:val="32"/>
              <w:u w:val="single"/>
            </w:rPr>
          </w:pPr>
          <w:r w:rsidRPr="00DC175E">
            <w:rPr>
              <w:rFonts w:ascii="HelveticaNeueLT Arabic 55 Roman" w:hAnsi="HelveticaNeueLT Arabic 55 Roman" w:cs="HelveticaNeueLT Arabic 55 Roman"/>
              <w:b/>
              <w:bCs/>
              <w:sz w:val="32"/>
              <w:szCs w:val="32"/>
              <w:u w:val="single"/>
            </w:rPr>
            <w:t>Schedule of Notification</w:t>
          </w:r>
        </w:p>
      </w:tc>
    </w:tr>
    <w:tr w:rsidR="006D6B66" w:rsidRPr="00E60A3E" w14:paraId="509C8FB0" w14:textId="77777777" w:rsidTr="003B1CE3">
      <w:trPr>
        <w:trHeight w:val="839"/>
        <w:jc w:val="center"/>
      </w:trPr>
      <w:tc>
        <w:tcPr>
          <w:tcW w:w="2272" w:type="pct"/>
          <w:vMerge/>
          <w:tcBorders>
            <w:left w:val="single" w:sz="24" w:space="0" w:color="C00000"/>
            <w:bottom w:val="single" w:sz="24" w:space="0" w:color="C00000"/>
            <w:right w:val="single" w:sz="24" w:space="0" w:color="C00000"/>
          </w:tcBorders>
          <w:vAlign w:val="center"/>
        </w:tcPr>
        <w:p w14:paraId="1BC0D6BA" w14:textId="77777777" w:rsidR="006D6B66" w:rsidRDefault="006D6B66" w:rsidP="006D6B66">
          <w:pPr>
            <w:bidi w:val="0"/>
            <w:jc w:val="center"/>
            <w:rPr>
              <w:noProof/>
            </w:rPr>
          </w:pPr>
        </w:p>
      </w:tc>
      <w:tc>
        <w:tcPr>
          <w:tcW w:w="2728" w:type="pct"/>
          <w:gridSpan w:val="2"/>
          <w:tcBorders>
            <w:top w:val="single" w:sz="24" w:space="0" w:color="C00000"/>
            <w:left w:val="single" w:sz="24" w:space="0" w:color="C00000"/>
            <w:bottom w:val="single" w:sz="24" w:space="0" w:color="C00000"/>
            <w:right w:val="single" w:sz="24" w:space="0" w:color="C00000"/>
          </w:tcBorders>
          <w:vAlign w:val="center"/>
        </w:tcPr>
        <w:p w14:paraId="4FFA4E59" w14:textId="3A0B82B4" w:rsidR="006D6B66" w:rsidRPr="00DC175E" w:rsidRDefault="00907707" w:rsidP="006D6B66">
          <w:pPr>
            <w:bidi w:val="0"/>
            <w:spacing w:before="120" w:after="120"/>
            <w:jc w:val="center"/>
            <w:rPr>
              <w:rFonts w:ascii="HelveticaNeueLT Arabic 55 Roman" w:hAnsi="HelveticaNeueLT Arabic 55 Roman" w:cs="HelveticaNeueLT Arabic 55 Roman"/>
              <w:b/>
              <w:bCs/>
              <w:color w:val="0070C0"/>
              <w:sz w:val="32"/>
              <w:szCs w:val="32"/>
              <w:highlight w:val="yellow"/>
              <w:lang w:val="de-DE"/>
            </w:rPr>
          </w:pPr>
          <w:r w:rsidRPr="00907707">
            <w:rPr>
              <w:rFonts w:cs="Times New Roman"/>
              <w:b/>
              <w:bCs/>
              <w:color w:val="C00000"/>
              <w:sz w:val="36"/>
              <w:szCs w:val="36"/>
            </w:rPr>
            <w:t>SGS Gulf Limited</w:t>
          </w:r>
        </w:p>
      </w:tc>
    </w:tr>
  </w:tbl>
  <w:p w14:paraId="63179231" w14:textId="77777777" w:rsidR="00126E79" w:rsidRPr="00D41E34" w:rsidRDefault="00126E79" w:rsidP="00D41E34">
    <w:pPr>
      <w:pStyle w:val="Header"/>
      <w:bidi w:val="0"/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74346"/>
    <w:multiLevelType w:val="hybridMultilevel"/>
    <w:tmpl w:val="FE30384E"/>
    <w:lvl w:ilvl="0" w:tplc="775EADE0">
      <w:start w:val="1"/>
      <w:numFmt w:val="bullet"/>
      <w:lvlText w:val="-"/>
      <w:lvlJc w:val="left"/>
      <w:pPr>
        <w:ind w:left="720" w:hanging="360"/>
      </w:pPr>
      <w:rPr>
        <w:rFonts w:ascii="Bahij TheSansArabic Plain" w:eastAsiaTheme="minorEastAsia" w:hAnsi="Bahij TheSansArabic Plain" w:cs="Bahij TheSansArabic Plai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163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ztzQ0szQzMre0NDZQ0lEKTi0uzszPAykwqQUAZ+ce2iwAAAA="/>
  </w:docVars>
  <w:rsids>
    <w:rsidRoot w:val="00126E79"/>
    <w:rsid w:val="0002043F"/>
    <w:rsid w:val="00095E72"/>
    <w:rsid w:val="000B1FAF"/>
    <w:rsid w:val="000F7318"/>
    <w:rsid w:val="001147D6"/>
    <w:rsid w:val="0011530D"/>
    <w:rsid w:val="00126E79"/>
    <w:rsid w:val="00177EBC"/>
    <w:rsid w:val="001A5E9F"/>
    <w:rsid w:val="001B74C5"/>
    <w:rsid w:val="001E24A3"/>
    <w:rsid w:val="001F7D16"/>
    <w:rsid w:val="002201EB"/>
    <w:rsid w:val="002507AC"/>
    <w:rsid w:val="00257256"/>
    <w:rsid w:val="00282F48"/>
    <w:rsid w:val="00290D35"/>
    <w:rsid w:val="002C0997"/>
    <w:rsid w:val="002D672B"/>
    <w:rsid w:val="002E00E3"/>
    <w:rsid w:val="00353082"/>
    <w:rsid w:val="00360102"/>
    <w:rsid w:val="0036669B"/>
    <w:rsid w:val="003A4B59"/>
    <w:rsid w:val="003B1CE3"/>
    <w:rsid w:val="003D0E15"/>
    <w:rsid w:val="003D266E"/>
    <w:rsid w:val="003E1B67"/>
    <w:rsid w:val="00420C62"/>
    <w:rsid w:val="00421F40"/>
    <w:rsid w:val="00441296"/>
    <w:rsid w:val="00447F1F"/>
    <w:rsid w:val="004A57F0"/>
    <w:rsid w:val="004B421D"/>
    <w:rsid w:val="004C2F70"/>
    <w:rsid w:val="004E0CF2"/>
    <w:rsid w:val="004E73D4"/>
    <w:rsid w:val="005055DB"/>
    <w:rsid w:val="0054151D"/>
    <w:rsid w:val="0054163C"/>
    <w:rsid w:val="0057294E"/>
    <w:rsid w:val="005A07AF"/>
    <w:rsid w:val="005D416C"/>
    <w:rsid w:val="005F6184"/>
    <w:rsid w:val="0064124A"/>
    <w:rsid w:val="006539A6"/>
    <w:rsid w:val="006806BD"/>
    <w:rsid w:val="00693508"/>
    <w:rsid w:val="006B0341"/>
    <w:rsid w:val="006B6196"/>
    <w:rsid w:val="006D6B66"/>
    <w:rsid w:val="006E597B"/>
    <w:rsid w:val="0071653E"/>
    <w:rsid w:val="00724851"/>
    <w:rsid w:val="0072715A"/>
    <w:rsid w:val="00784C57"/>
    <w:rsid w:val="0079297F"/>
    <w:rsid w:val="007942CA"/>
    <w:rsid w:val="007C7291"/>
    <w:rsid w:val="007D4A54"/>
    <w:rsid w:val="00816D3F"/>
    <w:rsid w:val="00823F40"/>
    <w:rsid w:val="0083566E"/>
    <w:rsid w:val="008513F8"/>
    <w:rsid w:val="00891FD1"/>
    <w:rsid w:val="008979BE"/>
    <w:rsid w:val="008B33A0"/>
    <w:rsid w:val="008C6189"/>
    <w:rsid w:val="008D731D"/>
    <w:rsid w:val="008F6C1B"/>
    <w:rsid w:val="00907707"/>
    <w:rsid w:val="00907F4D"/>
    <w:rsid w:val="00937AF5"/>
    <w:rsid w:val="00942ACE"/>
    <w:rsid w:val="009D6075"/>
    <w:rsid w:val="00A474B3"/>
    <w:rsid w:val="00A54E36"/>
    <w:rsid w:val="00A82F00"/>
    <w:rsid w:val="00A91DEB"/>
    <w:rsid w:val="00AE3598"/>
    <w:rsid w:val="00B31193"/>
    <w:rsid w:val="00B33010"/>
    <w:rsid w:val="00BA3BA5"/>
    <w:rsid w:val="00BB107B"/>
    <w:rsid w:val="00BB1AD9"/>
    <w:rsid w:val="00BE547F"/>
    <w:rsid w:val="00BE6BA9"/>
    <w:rsid w:val="00C04E22"/>
    <w:rsid w:val="00CC0528"/>
    <w:rsid w:val="00CD55D8"/>
    <w:rsid w:val="00CE1023"/>
    <w:rsid w:val="00D35FE9"/>
    <w:rsid w:val="00D41E34"/>
    <w:rsid w:val="00D539AB"/>
    <w:rsid w:val="00DA369A"/>
    <w:rsid w:val="00DC175E"/>
    <w:rsid w:val="00DD79F2"/>
    <w:rsid w:val="00E06C8D"/>
    <w:rsid w:val="00E178FB"/>
    <w:rsid w:val="00E21A97"/>
    <w:rsid w:val="00E35961"/>
    <w:rsid w:val="00E43E5C"/>
    <w:rsid w:val="00E70F05"/>
    <w:rsid w:val="00EF585F"/>
    <w:rsid w:val="00F65CF2"/>
    <w:rsid w:val="00FA777E"/>
    <w:rsid w:val="00FC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62612"/>
  <w15:docId w15:val="{CA71A253-C529-471D-860F-238F2FA1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E79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6E7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26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6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E79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6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E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26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E79"/>
    <w:rPr>
      <w:rFonts w:eastAsiaTheme="minorEastAsia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1F7D1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6D6B6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6B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175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4124A"/>
    <w:pPr>
      <w:ind w:left="720"/>
      <w:contextualSpacing/>
    </w:pPr>
  </w:style>
  <w:style w:type="paragraph" w:customStyle="1" w:styleId="Default">
    <w:name w:val="Default"/>
    <w:rsid w:val="009077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907707"/>
    <w:pPr>
      <w:bidi/>
      <w:spacing w:after="0" w:line="240" w:lineRule="auto"/>
    </w:pPr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B31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gs-me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nand.nair@sg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hazm.gov.om/nb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FD3DD27093F145A3F17E01B16121F8" ma:contentTypeVersion="17" ma:contentTypeDescription="Crée un document." ma:contentTypeScope="" ma:versionID="5fde641d011a9fe0f59ebb13b6e3e25d">
  <xsd:schema xmlns:xsd="http://www.w3.org/2001/XMLSchema" xmlns:xs="http://www.w3.org/2001/XMLSchema" xmlns:p="http://schemas.microsoft.com/office/2006/metadata/properties" xmlns:ns2="831edb1e-9db7-4f7a-beaf-2be43a8982ba" xmlns:ns3="d95d2663-e065-4510-8319-c2156c9a4f7b" targetNamespace="http://schemas.microsoft.com/office/2006/metadata/properties" ma:root="true" ma:fieldsID="1efa03c7a6e3350bd1e403e2dffc320a" ns2:_="" ns3:_="">
    <xsd:import namespace="831edb1e-9db7-4f7a-beaf-2be43a8982ba"/>
    <xsd:import namespace="d95d2663-e065-4510-8319-c2156c9a4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edb1e-9db7-4f7a-beaf-2be43a898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524f9245-68ca-475e-bd2a-118036dd43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d2663-e065-4510-8319-c2156c9a4f7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5179ab-5477-4e1c-8558-f5ebb830fbe4}" ma:internalName="TaxCatchAll" ma:showField="CatchAllData" ma:web="d95d2663-e065-4510-8319-c2156c9a4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1edb1e-9db7-4f7a-beaf-2be43a8982ba">
      <Terms xmlns="http://schemas.microsoft.com/office/infopath/2007/PartnerControls"/>
    </lcf76f155ced4ddcb4097134ff3c332f>
    <TaxCatchAll xmlns="d95d2663-e065-4510-8319-c2156c9a4f7b" xsi:nil="true"/>
  </documentManagement>
</p:properties>
</file>

<file path=customXml/itemProps1.xml><?xml version="1.0" encoding="utf-8"?>
<ds:datastoreItem xmlns:ds="http://schemas.openxmlformats.org/officeDocument/2006/customXml" ds:itemID="{C614CBA0-A181-4D90-8E81-ABD267DCC7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B627FD-B89F-4EA4-825B-404887E7B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edb1e-9db7-4f7a-beaf-2be43a8982ba"/>
    <ds:schemaRef ds:uri="d95d2663-e065-4510-8319-c2156c9a4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A14079-D2FE-4041-9448-699FE2E35F64}">
  <ds:schemaRefs>
    <ds:schemaRef ds:uri="http://schemas.microsoft.com/office/2006/metadata/properties"/>
    <ds:schemaRef ds:uri="http://schemas.microsoft.com/office/infopath/2007/PartnerControls"/>
    <ds:schemaRef ds:uri="831edb1e-9db7-4f7a-beaf-2be43a8982ba"/>
    <ds:schemaRef ds:uri="d95d2663-e065-4510-8319-c2156c9a4f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Ibrahim .Y Alhashef</dc:creator>
  <cp:lastModifiedBy>Samy, Mahmoud (Dubai)</cp:lastModifiedBy>
  <cp:revision>18</cp:revision>
  <cp:lastPrinted>2025-12-11T08:56:00Z</cp:lastPrinted>
  <dcterms:created xsi:type="dcterms:W3CDTF">2025-10-10T08:44:00Z</dcterms:created>
  <dcterms:modified xsi:type="dcterms:W3CDTF">2025-12-23T12:08:00Z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0x010100BFFD3DD27093F145A3F17E01B16121F8</vt:lpwstr>
  </property>
</Properties>
</file>